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8B6BC" w14:textId="77777777" w:rsidR="006202F0" w:rsidRPr="00B126AF" w:rsidRDefault="006202F0" w:rsidP="006202F0">
      <w:pPr>
        <w:jc w:val="center"/>
        <w:rPr>
          <w:rFonts w:ascii="Aptos" w:hAnsi="Aptos" w:cstheme="minorHAnsi"/>
          <w:b/>
          <w:bCs/>
          <w:color w:val="003366"/>
          <w:sz w:val="24"/>
          <w:szCs w:val="24"/>
        </w:rPr>
      </w:pPr>
      <w:r w:rsidRPr="00B126AF">
        <w:rPr>
          <w:rFonts w:ascii="Aptos" w:hAnsi="Aptos" w:cstheme="minorHAnsi"/>
          <w:b/>
          <w:bCs/>
          <w:color w:val="003366"/>
          <w:sz w:val="24"/>
          <w:szCs w:val="24"/>
        </w:rPr>
        <w:t>Bilješke uz financijske izvještaje</w:t>
      </w:r>
    </w:p>
    <w:p w14:paraId="131727BC" w14:textId="707E35D9" w:rsidR="006202F0" w:rsidRPr="00B126AF" w:rsidRDefault="006202F0" w:rsidP="006202F0">
      <w:pPr>
        <w:jc w:val="center"/>
        <w:rPr>
          <w:rFonts w:ascii="Aptos" w:hAnsi="Aptos" w:cstheme="minorHAnsi"/>
          <w:b/>
          <w:bCs/>
          <w:color w:val="003366"/>
          <w:sz w:val="24"/>
          <w:szCs w:val="24"/>
        </w:rPr>
      </w:pPr>
      <w:r w:rsidRPr="00B126AF">
        <w:rPr>
          <w:rFonts w:ascii="Aptos" w:hAnsi="Aptos" w:cstheme="minorHAnsi"/>
          <w:b/>
          <w:bCs/>
          <w:color w:val="003366"/>
          <w:sz w:val="24"/>
          <w:szCs w:val="24"/>
        </w:rPr>
        <w:t>za razdoblje od 01. siječnja 202</w:t>
      </w:r>
      <w:r w:rsidR="004335C3" w:rsidRPr="00B126AF">
        <w:rPr>
          <w:rFonts w:ascii="Aptos" w:hAnsi="Aptos" w:cstheme="minorHAnsi"/>
          <w:b/>
          <w:bCs/>
          <w:color w:val="003366"/>
          <w:sz w:val="24"/>
          <w:szCs w:val="24"/>
        </w:rPr>
        <w:t>3</w:t>
      </w:r>
      <w:r w:rsidRPr="00B126AF">
        <w:rPr>
          <w:rFonts w:ascii="Aptos" w:hAnsi="Aptos" w:cstheme="minorHAnsi"/>
          <w:b/>
          <w:bCs/>
          <w:color w:val="003366"/>
          <w:sz w:val="24"/>
          <w:szCs w:val="24"/>
        </w:rPr>
        <w:t>. do 31. prosinca 202</w:t>
      </w:r>
      <w:r w:rsidR="004335C3" w:rsidRPr="00B126AF">
        <w:rPr>
          <w:rFonts w:ascii="Aptos" w:hAnsi="Aptos" w:cstheme="minorHAnsi"/>
          <w:b/>
          <w:bCs/>
          <w:color w:val="003366"/>
          <w:sz w:val="24"/>
          <w:szCs w:val="24"/>
        </w:rPr>
        <w:t>3</w:t>
      </w:r>
      <w:r w:rsidRPr="00B126AF">
        <w:rPr>
          <w:rFonts w:ascii="Aptos" w:hAnsi="Aptos" w:cstheme="minorHAnsi"/>
          <w:b/>
          <w:bCs/>
          <w:color w:val="003366"/>
          <w:sz w:val="24"/>
          <w:szCs w:val="24"/>
        </w:rPr>
        <w:t>.</w:t>
      </w:r>
    </w:p>
    <w:p w14:paraId="7A5C1E2D" w14:textId="77777777" w:rsidR="006202F0" w:rsidRPr="00B126AF" w:rsidRDefault="006202F0" w:rsidP="006202F0">
      <w:pPr>
        <w:rPr>
          <w:rFonts w:ascii="Aptos" w:hAnsi="Aptos" w:cstheme="minorHAnsi"/>
        </w:rPr>
      </w:pPr>
    </w:p>
    <w:tbl>
      <w:tblPr>
        <w:tblW w:w="9639" w:type="dxa"/>
        <w:tblInd w:w="-459" w:type="dxa"/>
        <w:tblLayout w:type="fixed"/>
        <w:tblLook w:val="04A0" w:firstRow="1" w:lastRow="0" w:firstColumn="1" w:lastColumn="0" w:noHBand="0" w:noVBand="1"/>
      </w:tblPr>
      <w:tblGrid>
        <w:gridCol w:w="1701"/>
        <w:gridCol w:w="945"/>
        <w:gridCol w:w="615"/>
        <w:gridCol w:w="1360"/>
        <w:gridCol w:w="57"/>
        <w:gridCol w:w="704"/>
        <w:gridCol w:w="1139"/>
        <w:gridCol w:w="850"/>
        <w:gridCol w:w="236"/>
        <w:gridCol w:w="283"/>
        <w:gridCol w:w="284"/>
        <w:gridCol w:w="635"/>
        <w:gridCol w:w="830"/>
      </w:tblGrid>
      <w:tr w:rsidR="006202F0" w:rsidRPr="00B126AF" w14:paraId="4D7F53D1" w14:textId="77777777" w:rsidTr="005E2B22">
        <w:trPr>
          <w:trHeight w:val="300"/>
        </w:trPr>
        <w:tc>
          <w:tcPr>
            <w:tcW w:w="1701" w:type="dxa"/>
            <w:tcBorders>
              <w:top w:val="nil"/>
              <w:left w:val="nil"/>
              <w:bottom w:val="nil"/>
              <w:right w:val="nil"/>
            </w:tcBorders>
            <w:shd w:val="clear" w:color="auto" w:fill="auto"/>
            <w:noWrap/>
            <w:vAlign w:val="center"/>
            <w:hideMark/>
          </w:tcPr>
          <w:p w14:paraId="3AFE9E1B"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Broj RKP-a:</w:t>
            </w:r>
          </w:p>
        </w:tc>
        <w:tc>
          <w:tcPr>
            <w:tcW w:w="1560"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55045217" w14:textId="77777777" w:rsidR="006202F0" w:rsidRPr="00F61B8D" w:rsidRDefault="006202F0" w:rsidP="005E2B22">
            <w:pPr>
              <w:rPr>
                <w:rFonts w:ascii="Aptos" w:hAnsi="Aptos" w:cstheme="minorHAnsi"/>
                <w:sz w:val="18"/>
                <w:szCs w:val="18"/>
              </w:rPr>
            </w:pPr>
            <w:r w:rsidRPr="00F61B8D">
              <w:rPr>
                <w:rFonts w:ascii="Aptos" w:hAnsi="Aptos" w:cstheme="minorHAnsi"/>
                <w:b/>
                <w:bCs/>
                <w:color w:val="800000"/>
                <w:sz w:val="18"/>
                <w:szCs w:val="18"/>
              </w:rPr>
              <w:t> 30074</w:t>
            </w:r>
          </w:p>
        </w:tc>
        <w:tc>
          <w:tcPr>
            <w:tcW w:w="2121" w:type="dxa"/>
            <w:gridSpan w:val="3"/>
            <w:tcBorders>
              <w:top w:val="nil"/>
              <w:left w:val="nil"/>
              <w:bottom w:val="nil"/>
              <w:right w:val="single" w:sz="4" w:space="0" w:color="000000"/>
            </w:tcBorders>
            <w:shd w:val="clear" w:color="auto" w:fill="auto"/>
            <w:noWrap/>
            <w:vAlign w:val="center"/>
            <w:hideMark/>
          </w:tcPr>
          <w:p w14:paraId="21CE25DB"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Oznaka razdoblja:</w:t>
            </w:r>
          </w:p>
        </w:tc>
        <w:tc>
          <w:tcPr>
            <w:tcW w:w="1139" w:type="dxa"/>
            <w:tcBorders>
              <w:top w:val="nil"/>
              <w:left w:val="nil"/>
              <w:bottom w:val="single" w:sz="4" w:space="0" w:color="auto"/>
              <w:right w:val="single" w:sz="4" w:space="0" w:color="auto"/>
            </w:tcBorders>
            <w:shd w:val="pct25" w:color="C0C0C0" w:fill="auto"/>
            <w:noWrap/>
            <w:vAlign w:val="center"/>
            <w:hideMark/>
          </w:tcPr>
          <w:p w14:paraId="7C8F12CE" w14:textId="43890751" w:rsidR="006202F0" w:rsidRPr="00F61B8D" w:rsidRDefault="006202F0" w:rsidP="005E2B22">
            <w:pPr>
              <w:jc w:val="center"/>
              <w:rPr>
                <w:rFonts w:ascii="Aptos" w:hAnsi="Aptos" w:cstheme="minorHAnsi"/>
                <w:b/>
                <w:bCs/>
                <w:color w:val="800000"/>
                <w:sz w:val="18"/>
                <w:szCs w:val="18"/>
              </w:rPr>
            </w:pPr>
            <w:r w:rsidRPr="00F61B8D">
              <w:rPr>
                <w:rFonts w:ascii="Aptos" w:hAnsi="Aptos" w:cstheme="minorHAnsi"/>
                <w:b/>
                <w:bCs/>
                <w:color w:val="800000"/>
                <w:sz w:val="18"/>
                <w:szCs w:val="18"/>
              </w:rPr>
              <w:t>202</w:t>
            </w:r>
            <w:r w:rsidR="004335C3" w:rsidRPr="00F61B8D">
              <w:rPr>
                <w:rFonts w:ascii="Aptos" w:hAnsi="Aptos" w:cstheme="minorHAnsi"/>
                <w:b/>
                <w:bCs/>
                <w:color w:val="800000"/>
                <w:sz w:val="18"/>
                <w:szCs w:val="18"/>
              </w:rPr>
              <w:t>3</w:t>
            </w:r>
            <w:r w:rsidRPr="00F61B8D">
              <w:rPr>
                <w:rFonts w:ascii="Aptos" w:hAnsi="Aptos" w:cstheme="minorHAnsi"/>
                <w:b/>
                <w:bCs/>
                <w:color w:val="800000"/>
                <w:sz w:val="18"/>
                <w:szCs w:val="18"/>
              </w:rPr>
              <w:t>-12</w:t>
            </w:r>
          </w:p>
        </w:tc>
        <w:tc>
          <w:tcPr>
            <w:tcW w:w="850" w:type="dxa"/>
            <w:tcBorders>
              <w:top w:val="nil"/>
              <w:left w:val="nil"/>
              <w:bottom w:val="nil"/>
              <w:right w:val="nil"/>
            </w:tcBorders>
            <w:shd w:val="clear" w:color="auto" w:fill="auto"/>
            <w:noWrap/>
            <w:vAlign w:val="center"/>
            <w:hideMark/>
          </w:tcPr>
          <w:p w14:paraId="17D15748"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550E351B"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1D181F62" w14:textId="77777777" w:rsidR="006202F0" w:rsidRPr="00F61B8D" w:rsidRDefault="006202F0" w:rsidP="005E2B22">
            <w:pPr>
              <w:rPr>
                <w:rFonts w:ascii="Aptos" w:hAnsi="Aptos" w:cstheme="minorHAnsi"/>
                <w:sz w:val="18"/>
                <w:szCs w:val="18"/>
              </w:rPr>
            </w:pPr>
          </w:p>
        </w:tc>
        <w:tc>
          <w:tcPr>
            <w:tcW w:w="1749" w:type="dxa"/>
            <w:gridSpan w:val="3"/>
            <w:tcBorders>
              <w:top w:val="nil"/>
              <w:left w:val="nil"/>
              <w:bottom w:val="nil"/>
              <w:right w:val="nil"/>
            </w:tcBorders>
            <w:shd w:val="clear" w:color="auto" w:fill="auto"/>
            <w:noWrap/>
            <w:vAlign w:val="center"/>
          </w:tcPr>
          <w:p w14:paraId="4178AC85" w14:textId="77777777" w:rsidR="006202F0" w:rsidRPr="00F61B8D" w:rsidRDefault="006202F0" w:rsidP="005E2B22">
            <w:pPr>
              <w:rPr>
                <w:rFonts w:ascii="Aptos" w:hAnsi="Aptos" w:cstheme="minorHAnsi"/>
                <w:sz w:val="18"/>
                <w:szCs w:val="18"/>
              </w:rPr>
            </w:pPr>
          </w:p>
        </w:tc>
      </w:tr>
      <w:tr w:rsidR="006202F0" w:rsidRPr="00B126AF" w14:paraId="44DFD6F6" w14:textId="77777777" w:rsidTr="005E2B22">
        <w:trPr>
          <w:trHeight w:val="60"/>
        </w:trPr>
        <w:tc>
          <w:tcPr>
            <w:tcW w:w="1701" w:type="dxa"/>
            <w:tcBorders>
              <w:top w:val="nil"/>
              <w:left w:val="nil"/>
              <w:bottom w:val="nil"/>
              <w:right w:val="nil"/>
            </w:tcBorders>
            <w:shd w:val="clear" w:color="auto" w:fill="auto"/>
            <w:noWrap/>
            <w:vAlign w:val="center"/>
            <w:hideMark/>
          </w:tcPr>
          <w:p w14:paraId="28BF492D" w14:textId="77777777" w:rsidR="006202F0" w:rsidRPr="00F61B8D" w:rsidRDefault="006202F0" w:rsidP="005E2B22">
            <w:pPr>
              <w:rPr>
                <w:rFonts w:ascii="Aptos" w:hAnsi="Aptos" w:cstheme="minorHAnsi"/>
                <w:sz w:val="18"/>
                <w:szCs w:val="18"/>
              </w:rPr>
            </w:pPr>
          </w:p>
        </w:tc>
        <w:tc>
          <w:tcPr>
            <w:tcW w:w="945" w:type="dxa"/>
            <w:tcBorders>
              <w:top w:val="nil"/>
              <w:left w:val="nil"/>
              <w:bottom w:val="nil"/>
              <w:right w:val="nil"/>
            </w:tcBorders>
            <w:shd w:val="clear" w:color="auto" w:fill="auto"/>
            <w:noWrap/>
            <w:vAlign w:val="center"/>
            <w:hideMark/>
          </w:tcPr>
          <w:p w14:paraId="4D670B6E" w14:textId="77777777" w:rsidR="006202F0" w:rsidRPr="00F61B8D"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052E4AC3" w14:textId="77777777" w:rsidR="006202F0" w:rsidRPr="00F61B8D"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5BF6DF79" w14:textId="77777777" w:rsidR="006202F0" w:rsidRPr="00F61B8D"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28E80D7C" w14:textId="77777777" w:rsidR="006202F0" w:rsidRPr="00F61B8D"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695A106E" w14:textId="77777777" w:rsidR="006202F0" w:rsidRPr="00F61B8D"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3F35499E"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7A55FD53"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4FE44B91" w14:textId="77777777" w:rsidR="006202F0" w:rsidRPr="00F61B8D"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0433E19B" w14:textId="77777777" w:rsidR="006202F0" w:rsidRPr="00F61B8D"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5562A850" w14:textId="77777777" w:rsidR="006202F0" w:rsidRPr="00F61B8D" w:rsidRDefault="006202F0" w:rsidP="005E2B22">
            <w:pPr>
              <w:rPr>
                <w:rFonts w:ascii="Aptos" w:hAnsi="Aptos" w:cstheme="minorHAnsi"/>
                <w:sz w:val="18"/>
                <w:szCs w:val="18"/>
              </w:rPr>
            </w:pPr>
          </w:p>
        </w:tc>
      </w:tr>
      <w:tr w:rsidR="006202F0" w:rsidRPr="00B126AF" w14:paraId="4C550863" w14:textId="77777777" w:rsidTr="005E2B22">
        <w:trPr>
          <w:trHeight w:val="60"/>
        </w:trPr>
        <w:tc>
          <w:tcPr>
            <w:tcW w:w="1701" w:type="dxa"/>
            <w:tcBorders>
              <w:top w:val="nil"/>
              <w:left w:val="nil"/>
              <w:bottom w:val="nil"/>
              <w:right w:val="nil"/>
            </w:tcBorders>
            <w:shd w:val="clear" w:color="auto" w:fill="auto"/>
            <w:noWrap/>
            <w:vAlign w:val="center"/>
            <w:hideMark/>
          </w:tcPr>
          <w:p w14:paraId="5A46634C" w14:textId="77777777" w:rsidR="006202F0" w:rsidRPr="00F61B8D" w:rsidRDefault="006202F0" w:rsidP="005E2B22">
            <w:pPr>
              <w:rPr>
                <w:rFonts w:ascii="Aptos" w:hAnsi="Aptos" w:cstheme="minorHAnsi"/>
                <w:sz w:val="18"/>
                <w:szCs w:val="18"/>
              </w:rPr>
            </w:pPr>
          </w:p>
        </w:tc>
        <w:tc>
          <w:tcPr>
            <w:tcW w:w="945" w:type="dxa"/>
            <w:tcBorders>
              <w:top w:val="nil"/>
              <w:left w:val="nil"/>
              <w:bottom w:val="nil"/>
              <w:right w:val="nil"/>
            </w:tcBorders>
            <w:shd w:val="clear" w:color="auto" w:fill="auto"/>
            <w:noWrap/>
            <w:vAlign w:val="center"/>
            <w:hideMark/>
          </w:tcPr>
          <w:p w14:paraId="595C42D5" w14:textId="77777777" w:rsidR="006202F0" w:rsidRPr="00F61B8D"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437CD89E" w14:textId="77777777" w:rsidR="006202F0" w:rsidRPr="00F61B8D"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278F0D2D" w14:textId="77777777" w:rsidR="006202F0" w:rsidRPr="00F61B8D"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35F940C7" w14:textId="77777777" w:rsidR="006202F0" w:rsidRPr="00F61B8D"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3636EC6F" w14:textId="77777777" w:rsidR="006202F0" w:rsidRPr="00F61B8D"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74192581"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03C0B523"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12F1A927" w14:textId="77777777" w:rsidR="006202F0" w:rsidRPr="00F61B8D"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5BF301CD" w14:textId="77777777" w:rsidR="006202F0" w:rsidRPr="00F61B8D"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1498FE00" w14:textId="77777777" w:rsidR="006202F0" w:rsidRPr="00F61B8D" w:rsidRDefault="006202F0" w:rsidP="005E2B22">
            <w:pPr>
              <w:rPr>
                <w:rFonts w:ascii="Aptos" w:hAnsi="Aptos" w:cstheme="minorHAnsi"/>
                <w:sz w:val="18"/>
                <w:szCs w:val="18"/>
              </w:rPr>
            </w:pPr>
          </w:p>
        </w:tc>
      </w:tr>
      <w:tr w:rsidR="006202F0" w:rsidRPr="00B126AF" w14:paraId="41A68555" w14:textId="77777777" w:rsidTr="005E2B22">
        <w:trPr>
          <w:trHeight w:val="300"/>
        </w:trPr>
        <w:tc>
          <w:tcPr>
            <w:tcW w:w="1701" w:type="dxa"/>
            <w:tcBorders>
              <w:top w:val="nil"/>
              <w:left w:val="nil"/>
              <w:bottom w:val="nil"/>
              <w:right w:val="nil"/>
            </w:tcBorders>
            <w:shd w:val="clear" w:color="auto" w:fill="auto"/>
            <w:noWrap/>
            <w:vAlign w:val="center"/>
            <w:hideMark/>
          </w:tcPr>
          <w:p w14:paraId="752F9541"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Naziv obveznika:</w:t>
            </w:r>
          </w:p>
        </w:tc>
        <w:tc>
          <w:tcPr>
            <w:tcW w:w="2977" w:type="dxa"/>
            <w:gridSpan w:val="4"/>
            <w:tcBorders>
              <w:top w:val="nil"/>
              <w:left w:val="single" w:sz="4" w:space="0" w:color="auto"/>
              <w:bottom w:val="single" w:sz="4" w:space="0" w:color="auto"/>
              <w:right w:val="single" w:sz="4" w:space="0" w:color="000000"/>
            </w:tcBorders>
            <w:shd w:val="pct25" w:color="C0C0C0" w:fill="auto"/>
            <w:noWrap/>
            <w:vAlign w:val="center"/>
            <w:hideMark/>
          </w:tcPr>
          <w:p w14:paraId="3D7DCFE8" w14:textId="77777777" w:rsidR="006202F0" w:rsidRPr="00F61B8D" w:rsidRDefault="006202F0" w:rsidP="005E2B22">
            <w:pPr>
              <w:rPr>
                <w:rFonts w:ascii="Aptos" w:hAnsi="Aptos" w:cstheme="minorHAnsi"/>
                <w:b/>
                <w:bCs/>
                <w:color w:val="800000"/>
                <w:sz w:val="18"/>
                <w:szCs w:val="18"/>
              </w:rPr>
            </w:pPr>
            <w:r w:rsidRPr="00F61B8D">
              <w:rPr>
                <w:rFonts w:ascii="Aptos" w:hAnsi="Aptos" w:cstheme="minorHAnsi"/>
                <w:b/>
                <w:bCs/>
                <w:color w:val="800000"/>
                <w:sz w:val="18"/>
                <w:szCs w:val="18"/>
              </w:rPr>
              <w:t> GRAD BAKAR</w:t>
            </w:r>
          </w:p>
        </w:tc>
        <w:tc>
          <w:tcPr>
            <w:tcW w:w="3496" w:type="dxa"/>
            <w:gridSpan w:val="6"/>
            <w:tcBorders>
              <w:top w:val="nil"/>
              <w:left w:val="nil"/>
              <w:bottom w:val="nil"/>
              <w:right w:val="nil"/>
            </w:tcBorders>
            <w:shd w:val="clear" w:color="auto" w:fill="auto"/>
            <w:noWrap/>
            <w:vAlign w:val="center"/>
            <w:hideMark/>
          </w:tcPr>
          <w:p w14:paraId="1E9DC356"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Od datuma:</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255B7BBB" w14:textId="10556314" w:rsidR="006202F0" w:rsidRPr="00F61B8D" w:rsidRDefault="006202F0" w:rsidP="005E2B22">
            <w:pPr>
              <w:jc w:val="center"/>
              <w:rPr>
                <w:rFonts w:ascii="Aptos" w:hAnsi="Aptos" w:cstheme="minorHAnsi"/>
                <w:b/>
                <w:bCs/>
                <w:color w:val="800000"/>
                <w:sz w:val="18"/>
                <w:szCs w:val="18"/>
              </w:rPr>
            </w:pPr>
            <w:r w:rsidRPr="00F61B8D">
              <w:rPr>
                <w:rFonts w:ascii="Aptos" w:hAnsi="Aptos" w:cstheme="minorHAnsi"/>
                <w:b/>
                <w:bCs/>
                <w:color w:val="800000"/>
                <w:sz w:val="18"/>
                <w:szCs w:val="18"/>
              </w:rPr>
              <w:t>01.01.202</w:t>
            </w:r>
            <w:r w:rsidR="004335C3" w:rsidRPr="00F61B8D">
              <w:rPr>
                <w:rFonts w:ascii="Aptos" w:hAnsi="Aptos" w:cstheme="minorHAnsi"/>
                <w:b/>
                <w:bCs/>
                <w:color w:val="800000"/>
                <w:sz w:val="18"/>
                <w:szCs w:val="18"/>
              </w:rPr>
              <w:t>3</w:t>
            </w:r>
            <w:r w:rsidRPr="00F61B8D">
              <w:rPr>
                <w:rFonts w:ascii="Aptos" w:hAnsi="Aptos" w:cstheme="minorHAnsi"/>
                <w:b/>
                <w:bCs/>
                <w:color w:val="800000"/>
                <w:sz w:val="18"/>
                <w:szCs w:val="18"/>
              </w:rPr>
              <w:t>. </w:t>
            </w:r>
          </w:p>
        </w:tc>
      </w:tr>
      <w:tr w:rsidR="006202F0" w:rsidRPr="00B126AF" w14:paraId="64AF2524" w14:textId="77777777" w:rsidTr="005E2B22">
        <w:trPr>
          <w:trHeight w:val="60"/>
        </w:trPr>
        <w:tc>
          <w:tcPr>
            <w:tcW w:w="1701" w:type="dxa"/>
            <w:tcBorders>
              <w:top w:val="nil"/>
              <w:left w:val="nil"/>
              <w:bottom w:val="nil"/>
              <w:right w:val="nil"/>
            </w:tcBorders>
            <w:shd w:val="clear" w:color="auto" w:fill="auto"/>
            <w:noWrap/>
            <w:vAlign w:val="center"/>
            <w:hideMark/>
          </w:tcPr>
          <w:p w14:paraId="2C55E3E6" w14:textId="77777777" w:rsidR="006202F0" w:rsidRPr="00F61B8D" w:rsidRDefault="006202F0" w:rsidP="005E2B22">
            <w:pPr>
              <w:rPr>
                <w:rFonts w:ascii="Aptos" w:hAnsi="Aptos" w:cstheme="minorHAnsi"/>
                <w:sz w:val="18"/>
                <w:szCs w:val="18"/>
              </w:rPr>
            </w:pPr>
          </w:p>
        </w:tc>
        <w:tc>
          <w:tcPr>
            <w:tcW w:w="945" w:type="dxa"/>
            <w:tcBorders>
              <w:top w:val="nil"/>
              <w:left w:val="nil"/>
              <w:bottom w:val="nil"/>
              <w:right w:val="nil"/>
            </w:tcBorders>
            <w:shd w:val="clear" w:color="auto" w:fill="auto"/>
            <w:noWrap/>
            <w:vAlign w:val="center"/>
            <w:hideMark/>
          </w:tcPr>
          <w:p w14:paraId="7614B61C" w14:textId="77777777" w:rsidR="006202F0" w:rsidRPr="00F61B8D"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139B3BEC" w14:textId="77777777" w:rsidR="006202F0" w:rsidRPr="00F61B8D"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45568801" w14:textId="77777777" w:rsidR="006202F0" w:rsidRPr="00F61B8D"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23AC5BD7" w14:textId="77777777" w:rsidR="006202F0" w:rsidRPr="00F61B8D"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264C19E7" w14:textId="77777777" w:rsidR="006202F0" w:rsidRPr="00F61B8D"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508A81BE"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6CA03328"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58D77D44" w14:textId="77777777" w:rsidR="006202F0" w:rsidRPr="00F61B8D"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5DED7DBB" w14:textId="77777777" w:rsidR="006202F0" w:rsidRPr="00F61B8D"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7AFD5B94" w14:textId="77777777" w:rsidR="006202F0" w:rsidRPr="00F61B8D" w:rsidRDefault="006202F0" w:rsidP="005E2B22">
            <w:pPr>
              <w:rPr>
                <w:rFonts w:ascii="Aptos" w:hAnsi="Aptos" w:cstheme="minorHAnsi"/>
                <w:sz w:val="18"/>
                <w:szCs w:val="18"/>
              </w:rPr>
            </w:pPr>
          </w:p>
        </w:tc>
      </w:tr>
      <w:tr w:rsidR="006202F0" w:rsidRPr="00B126AF" w14:paraId="13F6CE13" w14:textId="77777777" w:rsidTr="005E2B22">
        <w:trPr>
          <w:trHeight w:val="300"/>
        </w:trPr>
        <w:tc>
          <w:tcPr>
            <w:tcW w:w="1701" w:type="dxa"/>
            <w:tcBorders>
              <w:top w:val="nil"/>
              <w:left w:val="nil"/>
              <w:bottom w:val="nil"/>
              <w:right w:val="nil"/>
            </w:tcBorders>
            <w:shd w:val="clear" w:color="auto" w:fill="auto"/>
            <w:noWrap/>
            <w:vAlign w:val="center"/>
            <w:hideMark/>
          </w:tcPr>
          <w:p w14:paraId="2E30B0F8"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Pošta i mjesto:</w:t>
            </w:r>
          </w:p>
        </w:tc>
        <w:tc>
          <w:tcPr>
            <w:tcW w:w="945" w:type="dxa"/>
            <w:tcBorders>
              <w:top w:val="nil"/>
              <w:left w:val="single" w:sz="4" w:space="0" w:color="auto"/>
              <w:bottom w:val="single" w:sz="4" w:space="0" w:color="auto"/>
              <w:right w:val="double" w:sz="6" w:space="0" w:color="auto"/>
            </w:tcBorders>
            <w:shd w:val="pct25" w:color="C0C0C0" w:fill="auto"/>
            <w:noWrap/>
            <w:vAlign w:val="center"/>
            <w:hideMark/>
          </w:tcPr>
          <w:p w14:paraId="1D01DA3C" w14:textId="77777777" w:rsidR="006202F0" w:rsidRPr="00F61B8D" w:rsidRDefault="006202F0" w:rsidP="005E2B22">
            <w:pPr>
              <w:rPr>
                <w:rFonts w:ascii="Aptos" w:hAnsi="Aptos" w:cstheme="minorHAnsi"/>
                <w:b/>
                <w:bCs/>
                <w:color w:val="800000"/>
                <w:sz w:val="18"/>
                <w:szCs w:val="18"/>
              </w:rPr>
            </w:pPr>
            <w:r w:rsidRPr="00F61B8D">
              <w:rPr>
                <w:rFonts w:ascii="Aptos" w:hAnsi="Aptos" w:cstheme="minorHAnsi"/>
                <w:b/>
                <w:bCs/>
                <w:color w:val="800000"/>
                <w:sz w:val="18"/>
                <w:szCs w:val="18"/>
              </w:rPr>
              <w:t> 51222</w:t>
            </w:r>
          </w:p>
        </w:tc>
        <w:tc>
          <w:tcPr>
            <w:tcW w:w="2032" w:type="dxa"/>
            <w:gridSpan w:val="3"/>
            <w:tcBorders>
              <w:top w:val="nil"/>
              <w:left w:val="nil"/>
              <w:bottom w:val="single" w:sz="4" w:space="0" w:color="auto"/>
              <w:right w:val="single" w:sz="4" w:space="0" w:color="000000"/>
            </w:tcBorders>
            <w:shd w:val="pct25" w:color="C0C0C0" w:fill="auto"/>
            <w:noWrap/>
            <w:vAlign w:val="center"/>
            <w:hideMark/>
          </w:tcPr>
          <w:p w14:paraId="6B1DF5DA" w14:textId="77777777" w:rsidR="006202F0" w:rsidRPr="00F61B8D" w:rsidRDefault="006202F0" w:rsidP="005E2B22">
            <w:pPr>
              <w:rPr>
                <w:rFonts w:ascii="Aptos" w:hAnsi="Aptos" w:cstheme="minorHAnsi"/>
                <w:b/>
                <w:bCs/>
                <w:color w:val="800000"/>
                <w:sz w:val="18"/>
                <w:szCs w:val="18"/>
              </w:rPr>
            </w:pPr>
            <w:r w:rsidRPr="00F61B8D">
              <w:rPr>
                <w:rFonts w:ascii="Aptos" w:hAnsi="Aptos" w:cstheme="minorHAnsi"/>
                <w:b/>
                <w:bCs/>
                <w:color w:val="800000"/>
                <w:sz w:val="18"/>
                <w:szCs w:val="18"/>
              </w:rPr>
              <w:t> BAKAR</w:t>
            </w:r>
          </w:p>
        </w:tc>
        <w:tc>
          <w:tcPr>
            <w:tcW w:w="3496" w:type="dxa"/>
            <w:gridSpan w:val="6"/>
            <w:tcBorders>
              <w:top w:val="nil"/>
              <w:left w:val="nil"/>
              <w:bottom w:val="nil"/>
              <w:right w:val="nil"/>
            </w:tcBorders>
            <w:shd w:val="clear" w:color="auto" w:fill="auto"/>
            <w:noWrap/>
            <w:vAlign w:val="center"/>
            <w:hideMark/>
          </w:tcPr>
          <w:p w14:paraId="776DA607"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Do datuma:</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448741DE" w14:textId="01560E13" w:rsidR="006202F0" w:rsidRPr="00F61B8D" w:rsidRDefault="006202F0" w:rsidP="005E2B22">
            <w:pPr>
              <w:jc w:val="center"/>
              <w:rPr>
                <w:rFonts w:ascii="Aptos" w:hAnsi="Aptos" w:cstheme="minorHAnsi"/>
                <w:b/>
                <w:bCs/>
                <w:color w:val="800000"/>
                <w:sz w:val="18"/>
                <w:szCs w:val="18"/>
              </w:rPr>
            </w:pPr>
            <w:r w:rsidRPr="00F61B8D">
              <w:rPr>
                <w:rFonts w:ascii="Aptos" w:hAnsi="Aptos" w:cstheme="minorHAnsi"/>
                <w:b/>
                <w:bCs/>
                <w:color w:val="800000"/>
                <w:sz w:val="18"/>
                <w:szCs w:val="18"/>
              </w:rPr>
              <w:t> 31.12.202</w:t>
            </w:r>
            <w:r w:rsidR="004335C3" w:rsidRPr="00F61B8D">
              <w:rPr>
                <w:rFonts w:ascii="Aptos" w:hAnsi="Aptos" w:cstheme="minorHAnsi"/>
                <w:b/>
                <w:bCs/>
                <w:color w:val="800000"/>
                <w:sz w:val="18"/>
                <w:szCs w:val="18"/>
              </w:rPr>
              <w:t>3</w:t>
            </w:r>
            <w:r w:rsidRPr="00F61B8D">
              <w:rPr>
                <w:rFonts w:ascii="Aptos" w:hAnsi="Aptos" w:cstheme="minorHAnsi"/>
                <w:b/>
                <w:bCs/>
                <w:color w:val="800000"/>
                <w:sz w:val="18"/>
                <w:szCs w:val="18"/>
              </w:rPr>
              <w:t>.</w:t>
            </w:r>
          </w:p>
        </w:tc>
      </w:tr>
      <w:tr w:rsidR="006202F0" w:rsidRPr="00B126AF" w14:paraId="0168BAE2" w14:textId="77777777" w:rsidTr="005E2B22">
        <w:trPr>
          <w:trHeight w:val="60"/>
        </w:trPr>
        <w:tc>
          <w:tcPr>
            <w:tcW w:w="1701" w:type="dxa"/>
            <w:tcBorders>
              <w:top w:val="nil"/>
              <w:left w:val="nil"/>
              <w:bottom w:val="nil"/>
              <w:right w:val="nil"/>
            </w:tcBorders>
            <w:shd w:val="clear" w:color="auto" w:fill="auto"/>
            <w:noWrap/>
            <w:vAlign w:val="center"/>
            <w:hideMark/>
          </w:tcPr>
          <w:p w14:paraId="7E4C5C01" w14:textId="77777777" w:rsidR="006202F0" w:rsidRPr="00F61B8D" w:rsidRDefault="006202F0" w:rsidP="005E2B22">
            <w:pPr>
              <w:rPr>
                <w:rFonts w:ascii="Aptos" w:hAnsi="Aptos" w:cstheme="minorHAnsi"/>
                <w:sz w:val="18"/>
                <w:szCs w:val="18"/>
              </w:rPr>
            </w:pPr>
          </w:p>
        </w:tc>
        <w:tc>
          <w:tcPr>
            <w:tcW w:w="945" w:type="dxa"/>
            <w:tcBorders>
              <w:top w:val="nil"/>
              <w:left w:val="nil"/>
              <w:bottom w:val="nil"/>
              <w:right w:val="nil"/>
            </w:tcBorders>
            <w:shd w:val="clear" w:color="auto" w:fill="auto"/>
            <w:noWrap/>
            <w:vAlign w:val="center"/>
            <w:hideMark/>
          </w:tcPr>
          <w:p w14:paraId="52729FE7" w14:textId="77777777" w:rsidR="006202F0" w:rsidRPr="00F61B8D"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126D3F68" w14:textId="77777777" w:rsidR="006202F0" w:rsidRPr="00F61B8D"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04262E22" w14:textId="77777777" w:rsidR="006202F0" w:rsidRPr="00F61B8D"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47C48E6A" w14:textId="77777777" w:rsidR="006202F0" w:rsidRPr="00F61B8D"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5A985DF6" w14:textId="77777777" w:rsidR="006202F0" w:rsidRPr="00F61B8D"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22597DF6"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5E4206CE"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260BEEC5" w14:textId="77777777" w:rsidR="006202F0" w:rsidRPr="00F61B8D"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32D3BE8E" w14:textId="77777777" w:rsidR="006202F0" w:rsidRPr="00F61B8D"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00420FE7" w14:textId="77777777" w:rsidR="006202F0" w:rsidRPr="00F61B8D" w:rsidRDefault="006202F0" w:rsidP="005E2B22">
            <w:pPr>
              <w:rPr>
                <w:rFonts w:ascii="Aptos" w:hAnsi="Aptos" w:cstheme="minorHAnsi"/>
                <w:sz w:val="18"/>
                <w:szCs w:val="18"/>
              </w:rPr>
            </w:pPr>
          </w:p>
        </w:tc>
      </w:tr>
      <w:tr w:rsidR="006202F0" w:rsidRPr="00B126AF" w14:paraId="2B70B0E2" w14:textId="77777777" w:rsidTr="005E2B22">
        <w:trPr>
          <w:trHeight w:val="300"/>
        </w:trPr>
        <w:tc>
          <w:tcPr>
            <w:tcW w:w="1701" w:type="dxa"/>
            <w:tcBorders>
              <w:top w:val="nil"/>
              <w:left w:val="nil"/>
              <w:bottom w:val="nil"/>
              <w:right w:val="nil"/>
            </w:tcBorders>
            <w:shd w:val="clear" w:color="auto" w:fill="auto"/>
            <w:noWrap/>
            <w:vAlign w:val="center"/>
            <w:hideMark/>
          </w:tcPr>
          <w:p w14:paraId="29D618CA"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Ulica i kućni broj:</w:t>
            </w:r>
          </w:p>
        </w:tc>
        <w:tc>
          <w:tcPr>
            <w:tcW w:w="2977" w:type="dxa"/>
            <w:gridSpan w:val="4"/>
            <w:tcBorders>
              <w:top w:val="nil"/>
              <w:left w:val="single" w:sz="4" w:space="0" w:color="auto"/>
              <w:bottom w:val="single" w:sz="4" w:space="0" w:color="auto"/>
              <w:right w:val="single" w:sz="4" w:space="0" w:color="000000"/>
            </w:tcBorders>
            <w:shd w:val="pct25" w:color="C0C0C0" w:fill="auto"/>
            <w:noWrap/>
            <w:vAlign w:val="center"/>
            <w:hideMark/>
          </w:tcPr>
          <w:p w14:paraId="1581D770" w14:textId="77777777" w:rsidR="006202F0" w:rsidRPr="00F61B8D" w:rsidRDefault="006202F0" w:rsidP="005E2B22">
            <w:pPr>
              <w:rPr>
                <w:rFonts w:ascii="Aptos" w:hAnsi="Aptos" w:cstheme="minorHAnsi"/>
                <w:b/>
                <w:bCs/>
                <w:color w:val="800000"/>
                <w:sz w:val="18"/>
                <w:szCs w:val="18"/>
              </w:rPr>
            </w:pPr>
            <w:r w:rsidRPr="00F61B8D">
              <w:rPr>
                <w:rFonts w:ascii="Aptos" w:hAnsi="Aptos" w:cstheme="minorHAnsi"/>
                <w:b/>
                <w:bCs/>
                <w:color w:val="800000"/>
                <w:sz w:val="18"/>
                <w:szCs w:val="18"/>
              </w:rPr>
              <w:t> PRIMORJE 39</w:t>
            </w:r>
          </w:p>
        </w:tc>
        <w:tc>
          <w:tcPr>
            <w:tcW w:w="3496" w:type="dxa"/>
            <w:gridSpan w:val="6"/>
            <w:tcBorders>
              <w:top w:val="nil"/>
              <w:left w:val="nil"/>
              <w:bottom w:val="nil"/>
              <w:right w:val="nil"/>
            </w:tcBorders>
            <w:shd w:val="clear" w:color="auto" w:fill="auto"/>
            <w:noWrap/>
            <w:vAlign w:val="center"/>
            <w:hideMark/>
          </w:tcPr>
          <w:p w14:paraId="31329883"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OIB:</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7D11B599" w14:textId="77777777" w:rsidR="006202F0" w:rsidRPr="00F61B8D" w:rsidRDefault="006202F0" w:rsidP="005E2B22">
            <w:pPr>
              <w:jc w:val="center"/>
              <w:rPr>
                <w:rFonts w:ascii="Aptos" w:hAnsi="Aptos" w:cstheme="minorHAnsi"/>
                <w:b/>
                <w:bCs/>
                <w:color w:val="800000"/>
                <w:sz w:val="18"/>
                <w:szCs w:val="18"/>
              </w:rPr>
            </w:pPr>
            <w:r w:rsidRPr="00F61B8D">
              <w:rPr>
                <w:rFonts w:ascii="Aptos" w:hAnsi="Aptos" w:cstheme="minorHAnsi"/>
                <w:b/>
                <w:bCs/>
                <w:color w:val="800000"/>
                <w:sz w:val="18"/>
                <w:szCs w:val="18"/>
              </w:rPr>
              <w:t> 31708325678</w:t>
            </w:r>
          </w:p>
        </w:tc>
      </w:tr>
      <w:tr w:rsidR="006202F0" w:rsidRPr="00B126AF" w14:paraId="09AE97E2" w14:textId="77777777" w:rsidTr="005E2B22">
        <w:trPr>
          <w:trHeight w:val="60"/>
        </w:trPr>
        <w:tc>
          <w:tcPr>
            <w:tcW w:w="1701" w:type="dxa"/>
            <w:tcBorders>
              <w:top w:val="nil"/>
              <w:left w:val="nil"/>
              <w:bottom w:val="nil"/>
              <w:right w:val="nil"/>
            </w:tcBorders>
            <w:shd w:val="clear" w:color="auto" w:fill="auto"/>
            <w:noWrap/>
            <w:vAlign w:val="center"/>
            <w:hideMark/>
          </w:tcPr>
          <w:p w14:paraId="1D3EA326" w14:textId="77777777" w:rsidR="006202F0" w:rsidRPr="00F61B8D" w:rsidRDefault="006202F0" w:rsidP="005E2B22">
            <w:pPr>
              <w:rPr>
                <w:rFonts w:ascii="Aptos" w:hAnsi="Aptos" w:cstheme="minorHAnsi"/>
                <w:sz w:val="18"/>
                <w:szCs w:val="18"/>
              </w:rPr>
            </w:pPr>
          </w:p>
        </w:tc>
        <w:tc>
          <w:tcPr>
            <w:tcW w:w="945" w:type="dxa"/>
            <w:tcBorders>
              <w:top w:val="nil"/>
              <w:left w:val="nil"/>
              <w:bottom w:val="nil"/>
              <w:right w:val="nil"/>
            </w:tcBorders>
            <w:shd w:val="clear" w:color="auto" w:fill="auto"/>
            <w:noWrap/>
            <w:vAlign w:val="center"/>
            <w:hideMark/>
          </w:tcPr>
          <w:p w14:paraId="0705A281" w14:textId="77777777" w:rsidR="006202F0" w:rsidRPr="00F61B8D"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7E37DD17" w14:textId="77777777" w:rsidR="006202F0" w:rsidRPr="00F61B8D"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4029BE55" w14:textId="77777777" w:rsidR="006202F0" w:rsidRPr="00F61B8D"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1C7789D7" w14:textId="77777777" w:rsidR="006202F0" w:rsidRPr="00F61B8D"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30EFB11B" w14:textId="77777777" w:rsidR="006202F0" w:rsidRPr="00F61B8D"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766A34E4" w14:textId="77777777" w:rsidR="006202F0" w:rsidRPr="00F61B8D"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637C1818" w14:textId="77777777" w:rsidR="006202F0" w:rsidRPr="00F61B8D"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2AB547EE" w14:textId="77777777" w:rsidR="006202F0" w:rsidRPr="00F61B8D"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07954EEE" w14:textId="77777777" w:rsidR="006202F0" w:rsidRPr="00F61B8D"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0601AF4C" w14:textId="77777777" w:rsidR="006202F0" w:rsidRPr="00F61B8D" w:rsidRDefault="006202F0" w:rsidP="005E2B22">
            <w:pPr>
              <w:rPr>
                <w:rFonts w:ascii="Aptos" w:hAnsi="Aptos" w:cstheme="minorHAnsi"/>
                <w:sz w:val="18"/>
                <w:szCs w:val="18"/>
              </w:rPr>
            </w:pPr>
          </w:p>
        </w:tc>
      </w:tr>
      <w:tr w:rsidR="006202F0" w:rsidRPr="00B126AF" w14:paraId="616F95FE" w14:textId="77777777" w:rsidTr="005E2B22">
        <w:trPr>
          <w:trHeight w:val="300"/>
        </w:trPr>
        <w:tc>
          <w:tcPr>
            <w:tcW w:w="1701" w:type="dxa"/>
            <w:tcBorders>
              <w:top w:val="nil"/>
              <w:left w:val="nil"/>
              <w:bottom w:val="nil"/>
              <w:right w:val="nil"/>
            </w:tcBorders>
            <w:shd w:val="clear" w:color="auto" w:fill="auto"/>
            <w:noWrap/>
            <w:vAlign w:val="center"/>
            <w:hideMark/>
          </w:tcPr>
          <w:p w14:paraId="0A055F18" w14:textId="77777777" w:rsidR="006202F0" w:rsidRPr="00F61B8D" w:rsidRDefault="006202F0" w:rsidP="005E2B22">
            <w:pPr>
              <w:jc w:val="right"/>
              <w:rPr>
                <w:rFonts w:ascii="Aptos" w:hAnsi="Aptos" w:cstheme="minorHAnsi"/>
                <w:b/>
                <w:bCs/>
                <w:color w:val="000080"/>
                <w:sz w:val="18"/>
                <w:szCs w:val="18"/>
              </w:rPr>
            </w:pPr>
            <w:r w:rsidRPr="00F61B8D">
              <w:rPr>
                <w:rFonts w:ascii="Aptos" w:hAnsi="Aptos" w:cstheme="minorHAnsi"/>
                <w:b/>
                <w:bCs/>
                <w:color w:val="000080"/>
                <w:sz w:val="18"/>
                <w:szCs w:val="18"/>
              </w:rPr>
              <w:t>Razina:</w:t>
            </w:r>
          </w:p>
        </w:tc>
        <w:tc>
          <w:tcPr>
            <w:tcW w:w="945" w:type="dxa"/>
            <w:tcBorders>
              <w:top w:val="nil"/>
              <w:left w:val="single" w:sz="4" w:space="0" w:color="auto"/>
              <w:bottom w:val="single" w:sz="4" w:space="0" w:color="auto"/>
              <w:right w:val="single" w:sz="4" w:space="0" w:color="auto"/>
            </w:tcBorders>
            <w:shd w:val="pct25" w:color="C0C0C0" w:fill="auto"/>
            <w:noWrap/>
            <w:vAlign w:val="center"/>
            <w:hideMark/>
          </w:tcPr>
          <w:p w14:paraId="0B1DD2B8" w14:textId="77777777" w:rsidR="006202F0" w:rsidRPr="00F61B8D" w:rsidRDefault="006202F0" w:rsidP="005E2B22">
            <w:pPr>
              <w:jc w:val="center"/>
              <w:rPr>
                <w:rFonts w:ascii="Aptos" w:hAnsi="Aptos" w:cstheme="minorHAnsi"/>
                <w:b/>
                <w:bCs/>
                <w:color w:val="800000"/>
                <w:sz w:val="18"/>
                <w:szCs w:val="18"/>
              </w:rPr>
            </w:pPr>
            <w:r w:rsidRPr="00F61B8D">
              <w:rPr>
                <w:rFonts w:ascii="Aptos" w:hAnsi="Aptos" w:cstheme="minorHAnsi"/>
                <w:b/>
                <w:bCs/>
                <w:color w:val="800000"/>
                <w:sz w:val="18"/>
                <w:szCs w:val="18"/>
              </w:rPr>
              <w:t>22</w:t>
            </w:r>
          </w:p>
        </w:tc>
        <w:tc>
          <w:tcPr>
            <w:tcW w:w="6993" w:type="dxa"/>
            <w:gridSpan w:val="11"/>
            <w:tcBorders>
              <w:top w:val="nil"/>
              <w:left w:val="nil"/>
              <w:bottom w:val="nil"/>
              <w:right w:val="nil"/>
            </w:tcBorders>
            <w:shd w:val="clear" w:color="auto" w:fill="auto"/>
            <w:noWrap/>
            <w:vAlign w:val="center"/>
          </w:tcPr>
          <w:p w14:paraId="12299CC3" w14:textId="77777777" w:rsidR="006202F0" w:rsidRPr="00F61B8D" w:rsidRDefault="006202F0" w:rsidP="005E2B22">
            <w:pPr>
              <w:rPr>
                <w:rFonts w:ascii="Aptos" w:hAnsi="Aptos" w:cstheme="minorHAnsi"/>
                <w:b/>
                <w:bCs/>
                <w:color w:val="C0C0C0"/>
                <w:sz w:val="18"/>
                <w:szCs w:val="18"/>
              </w:rPr>
            </w:pPr>
          </w:p>
        </w:tc>
      </w:tr>
      <w:tr w:rsidR="006202F0" w:rsidRPr="00B126AF" w14:paraId="4A8CEEAA" w14:textId="77777777" w:rsidTr="005E2B22">
        <w:trPr>
          <w:trHeight w:val="60"/>
        </w:trPr>
        <w:tc>
          <w:tcPr>
            <w:tcW w:w="1701" w:type="dxa"/>
            <w:tcBorders>
              <w:top w:val="nil"/>
              <w:left w:val="nil"/>
              <w:bottom w:val="nil"/>
              <w:right w:val="nil"/>
            </w:tcBorders>
            <w:shd w:val="clear" w:color="auto" w:fill="auto"/>
            <w:noWrap/>
            <w:vAlign w:val="center"/>
            <w:hideMark/>
          </w:tcPr>
          <w:p w14:paraId="10DA111C" w14:textId="77777777" w:rsidR="006202F0" w:rsidRPr="00B126AF" w:rsidRDefault="006202F0" w:rsidP="005E2B22">
            <w:pPr>
              <w:jc w:val="right"/>
              <w:rPr>
                <w:rFonts w:ascii="Aptos" w:hAnsi="Aptos" w:cstheme="minorHAnsi"/>
                <w:b/>
                <w:bCs/>
                <w:sz w:val="18"/>
                <w:szCs w:val="18"/>
              </w:rPr>
            </w:pPr>
          </w:p>
        </w:tc>
        <w:tc>
          <w:tcPr>
            <w:tcW w:w="945" w:type="dxa"/>
            <w:tcBorders>
              <w:top w:val="nil"/>
              <w:left w:val="nil"/>
              <w:bottom w:val="nil"/>
              <w:right w:val="nil"/>
            </w:tcBorders>
            <w:shd w:val="clear" w:color="auto" w:fill="auto"/>
            <w:noWrap/>
            <w:vAlign w:val="center"/>
            <w:hideMark/>
          </w:tcPr>
          <w:p w14:paraId="18CF1EDD" w14:textId="77777777" w:rsidR="006202F0" w:rsidRPr="00B126AF"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5CDFC6E5" w14:textId="77777777" w:rsidR="006202F0" w:rsidRPr="00B126AF"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0FDE2B64" w14:textId="77777777" w:rsidR="006202F0" w:rsidRPr="00B126AF"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593359E4" w14:textId="77777777" w:rsidR="006202F0" w:rsidRPr="00B126AF"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220C735F" w14:textId="77777777" w:rsidR="006202F0" w:rsidRPr="00B126AF"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52B2BA6F" w14:textId="77777777" w:rsidR="006202F0" w:rsidRPr="00B126AF"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2DA713A2" w14:textId="77777777" w:rsidR="006202F0" w:rsidRPr="00B126AF"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7DA9097C" w14:textId="77777777" w:rsidR="006202F0" w:rsidRPr="00B126AF"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58DDDFDE" w14:textId="77777777" w:rsidR="006202F0" w:rsidRPr="00B126AF"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52E2315F" w14:textId="77777777" w:rsidR="006202F0" w:rsidRPr="00B126AF" w:rsidRDefault="006202F0" w:rsidP="005E2B22">
            <w:pPr>
              <w:rPr>
                <w:rFonts w:ascii="Aptos" w:hAnsi="Aptos" w:cstheme="minorHAnsi"/>
                <w:sz w:val="18"/>
                <w:szCs w:val="18"/>
              </w:rPr>
            </w:pPr>
          </w:p>
        </w:tc>
      </w:tr>
      <w:tr w:rsidR="006202F0" w:rsidRPr="00B126AF" w14:paraId="7DAD9C40" w14:textId="77777777" w:rsidTr="005E2B22">
        <w:trPr>
          <w:trHeight w:val="60"/>
        </w:trPr>
        <w:tc>
          <w:tcPr>
            <w:tcW w:w="1701" w:type="dxa"/>
            <w:tcBorders>
              <w:top w:val="nil"/>
              <w:left w:val="nil"/>
              <w:bottom w:val="nil"/>
              <w:right w:val="nil"/>
            </w:tcBorders>
            <w:shd w:val="clear" w:color="auto" w:fill="auto"/>
            <w:noWrap/>
            <w:vAlign w:val="center"/>
            <w:hideMark/>
          </w:tcPr>
          <w:p w14:paraId="1BACD1D7" w14:textId="77777777" w:rsidR="006202F0" w:rsidRPr="00B126AF" w:rsidRDefault="006202F0" w:rsidP="005E2B22">
            <w:pPr>
              <w:jc w:val="right"/>
              <w:rPr>
                <w:rFonts w:ascii="Aptos" w:hAnsi="Aptos" w:cstheme="minorHAnsi"/>
                <w:b/>
                <w:bCs/>
                <w:sz w:val="18"/>
                <w:szCs w:val="18"/>
              </w:rPr>
            </w:pPr>
          </w:p>
        </w:tc>
        <w:tc>
          <w:tcPr>
            <w:tcW w:w="945" w:type="dxa"/>
            <w:tcBorders>
              <w:top w:val="nil"/>
              <w:left w:val="nil"/>
              <w:bottom w:val="nil"/>
              <w:right w:val="nil"/>
            </w:tcBorders>
            <w:shd w:val="clear" w:color="auto" w:fill="auto"/>
            <w:noWrap/>
            <w:vAlign w:val="center"/>
            <w:hideMark/>
          </w:tcPr>
          <w:p w14:paraId="4FFAF607" w14:textId="77777777" w:rsidR="006202F0" w:rsidRPr="00B126AF" w:rsidRDefault="006202F0" w:rsidP="005E2B22">
            <w:pPr>
              <w:rPr>
                <w:rFonts w:ascii="Aptos" w:hAnsi="Aptos" w:cstheme="minorHAnsi"/>
                <w:sz w:val="18"/>
                <w:szCs w:val="18"/>
              </w:rPr>
            </w:pPr>
          </w:p>
        </w:tc>
        <w:tc>
          <w:tcPr>
            <w:tcW w:w="615" w:type="dxa"/>
            <w:tcBorders>
              <w:top w:val="nil"/>
              <w:left w:val="nil"/>
              <w:bottom w:val="nil"/>
              <w:right w:val="nil"/>
            </w:tcBorders>
            <w:shd w:val="clear" w:color="auto" w:fill="auto"/>
            <w:noWrap/>
            <w:vAlign w:val="center"/>
            <w:hideMark/>
          </w:tcPr>
          <w:p w14:paraId="69BD4AF9" w14:textId="77777777" w:rsidR="006202F0" w:rsidRPr="00B126AF" w:rsidRDefault="006202F0" w:rsidP="005E2B22">
            <w:pPr>
              <w:rPr>
                <w:rFonts w:ascii="Aptos" w:hAnsi="Aptos" w:cstheme="minorHAnsi"/>
                <w:sz w:val="18"/>
                <w:szCs w:val="18"/>
              </w:rPr>
            </w:pPr>
          </w:p>
        </w:tc>
        <w:tc>
          <w:tcPr>
            <w:tcW w:w="1360" w:type="dxa"/>
            <w:tcBorders>
              <w:top w:val="nil"/>
              <w:left w:val="nil"/>
              <w:bottom w:val="nil"/>
              <w:right w:val="nil"/>
            </w:tcBorders>
            <w:shd w:val="clear" w:color="auto" w:fill="auto"/>
            <w:noWrap/>
            <w:vAlign w:val="center"/>
            <w:hideMark/>
          </w:tcPr>
          <w:p w14:paraId="1DF229E5" w14:textId="77777777" w:rsidR="006202F0" w:rsidRPr="00B126AF" w:rsidRDefault="006202F0" w:rsidP="005E2B22">
            <w:pPr>
              <w:rPr>
                <w:rFonts w:ascii="Aptos" w:hAnsi="Aptos" w:cstheme="minorHAnsi"/>
                <w:sz w:val="18"/>
                <w:szCs w:val="18"/>
              </w:rPr>
            </w:pPr>
          </w:p>
        </w:tc>
        <w:tc>
          <w:tcPr>
            <w:tcW w:w="761" w:type="dxa"/>
            <w:gridSpan w:val="2"/>
            <w:tcBorders>
              <w:top w:val="nil"/>
              <w:left w:val="nil"/>
              <w:bottom w:val="nil"/>
              <w:right w:val="nil"/>
            </w:tcBorders>
            <w:shd w:val="clear" w:color="auto" w:fill="auto"/>
            <w:noWrap/>
            <w:vAlign w:val="center"/>
            <w:hideMark/>
          </w:tcPr>
          <w:p w14:paraId="6E3DFE32" w14:textId="77777777" w:rsidR="006202F0" w:rsidRPr="00B126AF" w:rsidRDefault="006202F0" w:rsidP="005E2B22">
            <w:pPr>
              <w:rPr>
                <w:rFonts w:ascii="Aptos" w:hAnsi="Aptos" w:cstheme="minorHAnsi"/>
                <w:sz w:val="18"/>
                <w:szCs w:val="18"/>
              </w:rPr>
            </w:pPr>
          </w:p>
        </w:tc>
        <w:tc>
          <w:tcPr>
            <w:tcW w:w="1139" w:type="dxa"/>
            <w:tcBorders>
              <w:top w:val="nil"/>
              <w:left w:val="nil"/>
              <w:bottom w:val="nil"/>
              <w:right w:val="nil"/>
            </w:tcBorders>
            <w:shd w:val="clear" w:color="auto" w:fill="auto"/>
            <w:noWrap/>
            <w:vAlign w:val="center"/>
            <w:hideMark/>
          </w:tcPr>
          <w:p w14:paraId="5B4DB35B" w14:textId="77777777" w:rsidR="006202F0" w:rsidRPr="00B126AF" w:rsidRDefault="006202F0" w:rsidP="005E2B22">
            <w:pPr>
              <w:rPr>
                <w:rFonts w:ascii="Aptos" w:hAnsi="Aptos" w:cstheme="minorHAnsi"/>
                <w:sz w:val="18"/>
                <w:szCs w:val="18"/>
              </w:rPr>
            </w:pPr>
          </w:p>
        </w:tc>
        <w:tc>
          <w:tcPr>
            <w:tcW w:w="850" w:type="dxa"/>
            <w:tcBorders>
              <w:top w:val="nil"/>
              <w:left w:val="nil"/>
              <w:bottom w:val="nil"/>
              <w:right w:val="nil"/>
            </w:tcBorders>
            <w:shd w:val="clear" w:color="auto" w:fill="auto"/>
            <w:noWrap/>
            <w:vAlign w:val="center"/>
            <w:hideMark/>
          </w:tcPr>
          <w:p w14:paraId="4EE6992D" w14:textId="77777777" w:rsidR="006202F0" w:rsidRPr="00B126AF" w:rsidRDefault="006202F0" w:rsidP="005E2B22">
            <w:pPr>
              <w:rPr>
                <w:rFonts w:ascii="Aptos" w:hAnsi="Aptos" w:cstheme="minorHAnsi"/>
                <w:sz w:val="18"/>
                <w:szCs w:val="18"/>
              </w:rPr>
            </w:pPr>
          </w:p>
        </w:tc>
        <w:tc>
          <w:tcPr>
            <w:tcW w:w="236" w:type="dxa"/>
            <w:tcBorders>
              <w:top w:val="nil"/>
              <w:left w:val="nil"/>
              <w:bottom w:val="nil"/>
              <w:right w:val="nil"/>
            </w:tcBorders>
            <w:shd w:val="clear" w:color="auto" w:fill="auto"/>
            <w:noWrap/>
            <w:vAlign w:val="center"/>
            <w:hideMark/>
          </w:tcPr>
          <w:p w14:paraId="7F8F3B7F" w14:textId="77777777" w:rsidR="006202F0" w:rsidRPr="00B126AF" w:rsidRDefault="006202F0" w:rsidP="005E2B22">
            <w:pPr>
              <w:rPr>
                <w:rFonts w:ascii="Aptos" w:hAnsi="Aptos" w:cstheme="minorHAnsi"/>
                <w:sz w:val="18"/>
                <w:szCs w:val="18"/>
              </w:rPr>
            </w:pPr>
          </w:p>
        </w:tc>
        <w:tc>
          <w:tcPr>
            <w:tcW w:w="283" w:type="dxa"/>
            <w:tcBorders>
              <w:top w:val="nil"/>
              <w:left w:val="nil"/>
              <w:bottom w:val="nil"/>
              <w:right w:val="nil"/>
            </w:tcBorders>
            <w:shd w:val="clear" w:color="auto" w:fill="auto"/>
            <w:noWrap/>
            <w:vAlign w:val="center"/>
            <w:hideMark/>
          </w:tcPr>
          <w:p w14:paraId="34EA6369" w14:textId="77777777" w:rsidR="006202F0" w:rsidRPr="00B126AF" w:rsidRDefault="006202F0" w:rsidP="005E2B22">
            <w:pPr>
              <w:rPr>
                <w:rFonts w:ascii="Aptos" w:hAnsi="Aptos" w:cstheme="minorHAnsi"/>
                <w:sz w:val="18"/>
                <w:szCs w:val="18"/>
              </w:rPr>
            </w:pPr>
          </w:p>
        </w:tc>
        <w:tc>
          <w:tcPr>
            <w:tcW w:w="919" w:type="dxa"/>
            <w:gridSpan w:val="2"/>
            <w:tcBorders>
              <w:top w:val="nil"/>
              <w:left w:val="nil"/>
              <w:bottom w:val="nil"/>
              <w:right w:val="nil"/>
            </w:tcBorders>
            <w:shd w:val="clear" w:color="auto" w:fill="auto"/>
            <w:noWrap/>
            <w:vAlign w:val="center"/>
            <w:hideMark/>
          </w:tcPr>
          <w:p w14:paraId="1EF478C1" w14:textId="77777777" w:rsidR="006202F0" w:rsidRPr="00B126AF" w:rsidRDefault="006202F0" w:rsidP="005E2B22">
            <w:pPr>
              <w:rPr>
                <w:rFonts w:ascii="Aptos" w:hAnsi="Aptos" w:cstheme="minorHAnsi"/>
                <w:sz w:val="18"/>
                <w:szCs w:val="18"/>
              </w:rPr>
            </w:pPr>
          </w:p>
        </w:tc>
        <w:tc>
          <w:tcPr>
            <w:tcW w:w="830" w:type="dxa"/>
            <w:tcBorders>
              <w:top w:val="nil"/>
              <w:left w:val="nil"/>
              <w:bottom w:val="nil"/>
              <w:right w:val="nil"/>
            </w:tcBorders>
            <w:shd w:val="clear" w:color="auto" w:fill="auto"/>
            <w:noWrap/>
            <w:vAlign w:val="center"/>
            <w:hideMark/>
          </w:tcPr>
          <w:p w14:paraId="23C95424" w14:textId="77777777" w:rsidR="006202F0" w:rsidRPr="00B126AF" w:rsidRDefault="006202F0" w:rsidP="005E2B22">
            <w:pPr>
              <w:rPr>
                <w:rFonts w:ascii="Aptos" w:hAnsi="Aptos" w:cstheme="minorHAnsi"/>
                <w:sz w:val="18"/>
                <w:szCs w:val="18"/>
              </w:rPr>
            </w:pPr>
          </w:p>
        </w:tc>
      </w:tr>
    </w:tbl>
    <w:p w14:paraId="0A91A6F5" w14:textId="067181AA" w:rsidR="006202F0" w:rsidRDefault="006202F0" w:rsidP="00604FDB">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Na temelju članka 14. Pravilnika o financijskom izvještavanju u proračunskom računovodstvu  (Narodne novine broj  37/22) financijski izvještaji Grada Bakra za  razdoblje od 01. siječnja do </w:t>
      </w:r>
      <w:r w:rsidR="0067630F" w:rsidRPr="00F61B8D">
        <w:rPr>
          <w:rFonts w:ascii="Aptos" w:hAnsi="Aptos" w:cstheme="minorHAnsi"/>
          <w:sz w:val="22"/>
          <w:szCs w:val="22"/>
        </w:rPr>
        <w:t>31. prosinca</w:t>
      </w:r>
      <w:r w:rsidRPr="00F61B8D">
        <w:rPr>
          <w:rFonts w:ascii="Aptos" w:hAnsi="Aptos" w:cstheme="minorHAnsi"/>
          <w:sz w:val="22"/>
          <w:szCs w:val="22"/>
        </w:rPr>
        <w:t xml:space="preserve"> 202</w:t>
      </w:r>
      <w:r w:rsidR="004335C3" w:rsidRPr="00F61B8D">
        <w:rPr>
          <w:rFonts w:ascii="Aptos" w:hAnsi="Aptos" w:cstheme="minorHAnsi"/>
          <w:sz w:val="22"/>
          <w:szCs w:val="22"/>
        </w:rPr>
        <w:t>3</w:t>
      </w:r>
      <w:r w:rsidRPr="00F61B8D">
        <w:rPr>
          <w:rFonts w:ascii="Aptos" w:hAnsi="Aptos" w:cstheme="minorHAnsi"/>
          <w:sz w:val="22"/>
          <w:szCs w:val="22"/>
        </w:rPr>
        <w:t>. godine  dopunjuju se bilješkama kako slijedi:</w:t>
      </w:r>
    </w:p>
    <w:p w14:paraId="536B4274" w14:textId="5958A456" w:rsidR="0085328F" w:rsidRPr="00F61B8D" w:rsidRDefault="0085328F" w:rsidP="00C54F0E">
      <w:pPr>
        <w:shd w:val="clear" w:color="auto" w:fill="D9D9D9" w:themeFill="background1" w:themeFillShade="D9"/>
        <w:spacing w:before="60" w:after="60"/>
        <w:ind w:left="-425" w:right="-380"/>
        <w:jc w:val="both"/>
        <w:rPr>
          <w:rFonts w:ascii="Aptos" w:hAnsi="Aptos" w:cstheme="minorHAnsi"/>
          <w:b/>
          <w:sz w:val="22"/>
          <w:szCs w:val="22"/>
        </w:rPr>
      </w:pPr>
      <w:r>
        <w:rPr>
          <w:rFonts w:ascii="Aptos" w:hAnsi="Aptos" w:cstheme="minorHAnsi"/>
          <w:b/>
          <w:sz w:val="22"/>
          <w:szCs w:val="22"/>
        </w:rPr>
        <w:t>A</w:t>
      </w:r>
      <w:r w:rsidRPr="00F61B8D">
        <w:rPr>
          <w:rFonts w:ascii="Aptos" w:hAnsi="Aptos" w:cstheme="minorHAnsi"/>
          <w:b/>
          <w:sz w:val="22"/>
          <w:szCs w:val="22"/>
        </w:rPr>
        <w:t xml:space="preserve">/  BILJEŠKE UZ IZVJEŠTAJ O PRIHODIMA, RASHODIMA, PRIMICIMA I IZDACIMA </w:t>
      </w:r>
    </w:p>
    <w:p w14:paraId="54E138FA" w14:textId="77777777" w:rsidR="0085328F" w:rsidRPr="00F61B8D" w:rsidRDefault="0085328F" w:rsidP="0085328F">
      <w:pPr>
        <w:spacing w:before="80" w:after="80"/>
        <w:ind w:right="-380"/>
        <w:jc w:val="center"/>
        <w:rPr>
          <w:rFonts w:ascii="Aptos" w:hAnsi="Aptos" w:cs="Calibri"/>
          <w:b/>
          <w:bCs/>
          <w:color w:val="000000"/>
          <w:sz w:val="22"/>
          <w:szCs w:val="22"/>
        </w:rPr>
      </w:pPr>
      <w:r w:rsidRPr="00F61B8D">
        <w:rPr>
          <w:rFonts w:ascii="Aptos" w:hAnsi="Aptos" w:cs="Calibri"/>
          <w:b/>
          <w:bCs/>
          <w:color w:val="000000"/>
          <w:sz w:val="22"/>
          <w:szCs w:val="22"/>
        </w:rPr>
        <w:t>Bilješka 1.</w:t>
      </w:r>
    </w:p>
    <w:p w14:paraId="5F53AAAE" w14:textId="4FF46986"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Proračun</w:t>
      </w:r>
      <w:r>
        <w:rPr>
          <w:rFonts w:ascii="Aptos" w:hAnsi="Aptos" w:cstheme="minorHAnsi"/>
          <w:sz w:val="22"/>
          <w:szCs w:val="22"/>
        </w:rPr>
        <w:t>om</w:t>
      </w:r>
      <w:r w:rsidRPr="00F61B8D">
        <w:rPr>
          <w:rFonts w:ascii="Aptos" w:hAnsi="Aptos" w:cstheme="minorHAnsi"/>
          <w:sz w:val="22"/>
          <w:szCs w:val="22"/>
        </w:rPr>
        <w:t xml:space="preserve"> Grada Bakra za 2023. godinu i Projekcij</w:t>
      </w:r>
      <w:r>
        <w:rPr>
          <w:rFonts w:ascii="Aptos" w:hAnsi="Aptos" w:cstheme="minorHAnsi"/>
          <w:sz w:val="22"/>
          <w:szCs w:val="22"/>
        </w:rPr>
        <w:t>ama</w:t>
      </w:r>
      <w:r w:rsidRPr="00F61B8D">
        <w:rPr>
          <w:rFonts w:ascii="Aptos" w:hAnsi="Aptos" w:cstheme="minorHAnsi"/>
          <w:sz w:val="22"/>
          <w:szCs w:val="22"/>
        </w:rPr>
        <w:t xml:space="preserve"> za 2024. i 2025. godinu </w:t>
      </w:r>
      <w:r>
        <w:rPr>
          <w:rFonts w:ascii="Aptos" w:hAnsi="Aptos" w:cstheme="minorHAnsi"/>
          <w:sz w:val="22"/>
          <w:szCs w:val="22"/>
        </w:rPr>
        <w:t>(</w:t>
      </w:r>
      <w:r w:rsidRPr="00F61B8D">
        <w:rPr>
          <w:rFonts w:ascii="Aptos" w:hAnsi="Aptos" w:cstheme="minorHAnsi"/>
          <w:sz w:val="22"/>
          <w:szCs w:val="22"/>
        </w:rPr>
        <w:t>Služben</w:t>
      </w:r>
      <w:r>
        <w:rPr>
          <w:rFonts w:ascii="Aptos" w:hAnsi="Aptos" w:cstheme="minorHAnsi"/>
          <w:sz w:val="22"/>
          <w:szCs w:val="22"/>
        </w:rPr>
        <w:t>e</w:t>
      </w:r>
      <w:r w:rsidRPr="00F61B8D">
        <w:rPr>
          <w:rFonts w:ascii="Aptos" w:hAnsi="Aptos" w:cstheme="minorHAnsi"/>
          <w:sz w:val="22"/>
          <w:szCs w:val="22"/>
        </w:rPr>
        <w:t xml:space="preserve"> novin</w:t>
      </w:r>
      <w:r>
        <w:rPr>
          <w:rFonts w:ascii="Aptos" w:hAnsi="Aptos" w:cstheme="minorHAnsi"/>
          <w:sz w:val="22"/>
          <w:szCs w:val="22"/>
        </w:rPr>
        <w:t>e</w:t>
      </w:r>
      <w:r w:rsidRPr="00F61B8D">
        <w:rPr>
          <w:rFonts w:ascii="Aptos" w:hAnsi="Aptos" w:cstheme="minorHAnsi"/>
          <w:sz w:val="22"/>
          <w:szCs w:val="22"/>
        </w:rPr>
        <w:t xml:space="preserve"> Grada Bakra broj 10/22</w:t>
      </w:r>
      <w:r>
        <w:rPr>
          <w:rFonts w:ascii="Aptos" w:hAnsi="Aptos" w:cstheme="minorHAnsi"/>
          <w:sz w:val="22"/>
          <w:szCs w:val="22"/>
        </w:rPr>
        <w:t xml:space="preserve">) </w:t>
      </w:r>
      <w:r w:rsidRPr="00F61B8D">
        <w:rPr>
          <w:rFonts w:ascii="Aptos" w:hAnsi="Aptos" w:cstheme="minorHAnsi"/>
          <w:sz w:val="22"/>
          <w:szCs w:val="22"/>
        </w:rPr>
        <w:t xml:space="preserve">ukupni prihodi i primici odnosno rashodi i izdaci </w:t>
      </w:r>
      <w:r>
        <w:rPr>
          <w:rFonts w:ascii="Aptos" w:hAnsi="Aptos" w:cstheme="minorHAnsi"/>
          <w:sz w:val="22"/>
          <w:szCs w:val="22"/>
        </w:rPr>
        <w:t xml:space="preserve">za 2023. godinu </w:t>
      </w:r>
      <w:r w:rsidRPr="00F61B8D">
        <w:rPr>
          <w:rFonts w:ascii="Aptos" w:hAnsi="Aptos" w:cstheme="minorHAnsi"/>
          <w:sz w:val="22"/>
          <w:szCs w:val="22"/>
        </w:rPr>
        <w:t>procijenjeni su u iznosu od 16.950.570,00</w:t>
      </w:r>
      <w:r>
        <w:rPr>
          <w:rFonts w:ascii="Aptos" w:hAnsi="Aptos" w:cstheme="minorHAnsi"/>
          <w:sz w:val="22"/>
          <w:szCs w:val="22"/>
        </w:rPr>
        <w:t xml:space="preserve"> </w:t>
      </w:r>
      <w:r w:rsidRPr="00F61B8D">
        <w:rPr>
          <w:rFonts w:ascii="Aptos" w:hAnsi="Aptos" w:cstheme="minorHAnsi"/>
          <w:sz w:val="22"/>
          <w:szCs w:val="22"/>
        </w:rPr>
        <w:t xml:space="preserve">€, za 2024. godinu </w:t>
      </w:r>
      <w:r>
        <w:rPr>
          <w:rFonts w:ascii="Aptos" w:hAnsi="Aptos" w:cstheme="minorHAnsi"/>
          <w:sz w:val="22"/>
          <w:szCs w:val="22"/>
        </w:rPr>
        <w:t xml:space="preserve">u iznosu od </w:t>
      </w:r>
      <w:r w:rsidRPr="00F61B8D">
        <w:rPr>
          <w:rFonts w:ascii="Aptos" w:hAnsi="Aptos" w:cstheme="minorHAnsi"/>
          <w:sz w:val="22"/>
          <w:szCs w:val="22"/>
        </w:rPr>
        <w:t>14.377.900,00</w:t>
      </w:r>
      <w:r>
        <w:rPr>
          <w:rFonts w:ascii="Aptos" w:hAnsi="Aptos" w:cstheme="minorHAnsi"/>
          <w:sz w:val="22"/>
          <w:szCs w:val="22"/>
        </w:rPr>
        <w:t xml:space="preserve"> </w:t>
      </w:r>
      <w:r w:rsidRPr="00F61B8D">
        <w:rPr>
          <w:rFonts w:ascii="Aptos" w:hAnsi="Aptos" w:cstheme="minorHAnsi"/>
          <w:sz w:val="22"/>
          <w:szCs w:val="22"/>
        </w:rPr>
        <w:t xml:space="preserve">€, a za 2025. godinu </w:t>
      </w:r>
      <w:r>
        <w:rPr>
          <w:rFonts w:ascii="Aptos" w:hAnsi="Aptos" w:cstheme="minorHAnsi"/>
          <w:sz w:val="22"/>
          <w:szCs w:val="22"/>
        </w:rPr>
        <w:t xml:space="preserve">u iznosu od </w:t>
      </w:r>
      <w:r w:rsidRPr="00F61B8D">
        <w:rPr>
          <w:rFonts w:ascii="Aptos" w:hAnsi="Aptos" w:cstheme="minorHAnsi"/>
          <w:sz w:val="22"/>
          <w:szCs w:val="22"/>
        </w:rPr>
        <w:t>14.731.900,00</w:t>
      </w:r>
      <w:r>
        <w:rPr>
          <w:rFonts w:ascii="Aptos" w:hAnsi="Aptos" w:cstheme="minorHAnsi"/>
          <w:sz w:val="22"/>
          <w:szCs w:val="22"/>
        </w:rPr>
        <w:t xml:space="preserve"> </w:t>
      </w:r>
      <w:r w:rsidRPr="00F61B8D">
        <w:rPr>
          <w:rFonts w:ascii="Aptos" w:hAnsi="Aptos" w:cstheme="minorHAnsi"/>
          <w:sz w:val="22"/>
          <w:szCs w:val="22"/>
        </w:rPr>
        <w:t>€.</w:t>
      </w:r>
    </w:p>
    <w:p w14:paraId="27C7C994" w14:textId="4716A8ED" w:rsidR="0085328F" w:rsidRPr="00F61B8D" w:rsidRDefault="0085328F" w:rsidP="0085328F">
      <w:pPr>
        <w:spacing w:before="60" w:after="60"/>
        <w:ind w:left="-425" w:right="-380" w:firstLine="284"/>
        <w:jc w:val="both"/>
        <w:rPr>
          <w:rFonts w:ascii="Aptos" w:hAnsi="Aptos" w:cstheme="minorHAnsi"/>
          <w:sz w:val="22"/>
          <w:szCs w:val="22"/>
        </w:rPr>
      </w:pPr>
      <w:bookmarkStart w:id="0" w:name="_Hlk66962864"/>
      <w:r w:rsidRPr="00F61B8D">
        <w:rPr>
          <w:rFonts w:ascii="Aptos" w:hAnsi="Aptos" w:cstheme="minorHAnsi"/>
          <w:sz w:val="22"/>
          <w:szCs w:val="22"/>
        </w:rPr>
        <w:t xml:space="preserve">Prvim izmjenama i dopunama Proračuna Grada Bakra za 2023. godinu </w:t>
      </w:r>
      <w:r w:rsidR="00C54F0E">
        <w:rPr>
          <w:rFonts w:ascii="Aptos" w:hAnsi="Aptos" w:cstheme="minorHAnsi"/>
          <w:sz w:val="22"/>
          <w:szCs w:val="22"/>
        </w:rPr>
        <w:t>(</w:t>
      </w:r>
      <w:r w:rsidR="00C54F0E" w:rsidRPr="00F61B8D">
        <w:rPr>
          <w:rFonts w:ascii="Aptos" w:hAnsi="Aptos" w:cstheme="minorHAnsi"/>
          <w:sz w:val="22"/>
          <w:szCs w:val="22"/>
        </w:rPr>
        <w:t>Služben</w:t>
      </w:r>
      <w:r w:rsidR="00C54F0E">
        <w:rPr>
          <w:rFonts w:ascii="Aptos" w:hAnsi="Aptos" w:cstheme="minorHAnsi"/>
          <w:sz w:val="22"/>
          <w:szCs w:val="22"/>
        </w:rPr>
        <w:t>e</w:t>
      </w:r>
      <w:r w:rsidR="00C54F0E" w:rsidRPr="00F61B8D">
        <w:rPr>
          <w:rFonts w:ascii="Aptos" w:hAnsi="Aptos" w:cstheme="minorHAnsi"/>
          <w:sz w:val="22"/>
          <w:szCs w:val="22"/>
        </w:rPr>
        <w:t xml:space="preserve"> novin</w:t>
      </w:r>
      <w:r w:rsidR="00C54F0E">
        <w:rPr>
          <w:rFonts w:ascii="Aptos" w:hAnsi="Aptos" w:cstheme="minorHAnsi"/>
          <w:sz w:val="22"/>
          <w:szCs w:val="22"/>
        </w:rPr>
        <w:t>e</w:t>
      </w:r>
      <w:r w:rsidR="00C54F0E" w:rsidRPr="00F61B8D">
        <w:rPr>
          <w:rFonts w:ascii="Aptos" w:hAnsi="Aptos" w:cstheme="minorHAnsi"/>
          <w:sz w:val="22"/>
          <w:szCs w:val="22"/>
        </w:rPr>
        <w:t xml:space="preserve"> Grada Bakra broj 5/23</w:t>
      </w:r>
      <w:r w:rsidR="00C54F0E">
        <w:rPr>
          <w:rFonts w:ascii="Aptos" w:hAnsi="Aptos" w:cstheme="minorHAnsi"/>
          <w:sz w:val="22"/>
          <w:szCs w:val="22"/>
        </w:rPr>
        <w:t xml:space="preserve">) </w:t>
      </w:r>
      <w:r w:rsidRPr="00F61B8D">
        <w:rPr>
          <w:rFonts w:ascii="Aptos" w:hAnsi="Aptos" w:cstheme="minorHAnsi"/>
          <w:sz w:val="22"/>
          <w:szCs w:val="22"/>
        </w:rPr>
        <w:t>izvršena je  preraspodjela i korekcija prihoda i primitaka te rashoda i izdataka na način da se ukupno planirani prihodi i primici odnosno rashodi i izdaci za 2023. godinu ne mijenjaju te iznose 16.950.570,00</w:t>
      </w:r>
      <w:r>
        <w:rPr>
          <w:rFonts w:ascii="Aptos" w:hAnsi="Aptos" w:cstheme="minorHAnsi"/>
          <w:sz w:val="22"/>
          <w:szCs w:val="22"/>
        </w:rPr>
        <w:t xml:space="preserve"> </w:t>
      </w:r>
      <w:r w:rsidRPr="00F61B8D">
        <w:rPr>
          <w:rFonts w:ascii="Aptos" w:hAnsi="Aptos" w:cstheme="minorHAnsi"/>
          <w:sz w:val="22"/>
          <w:szCs w:val="22"/>
        </w:rPr>
        <w:t xml:space="preserve">€. </w:t>
      </w:r>
      <w:bookmarkEnd w:id="0"/>
    </w:p>
    <w:p w14:paraId="368CE99D" w14:textId="6879DB8A" w:rsidR="0085328F" w:rsidRPr="00F61B8D" w:rsidRDefault="0085328F" w:rsidP="00C54F0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Drugim izmjenama i dopunama Proračuna Grada Bakra za 2023. godinu </w:t>
      </w:r>
      <w:r w:rsidR="00C54F0E">
        <w:rPr>
          <w:rFonts w:ascii="Aptos" w:hAnsi="Aptos" w:cstheme="minorHAnsi"/>
          <w:sz w:val="22"/>
          <w:szCs w:val="22"/>
        </w:rPr>
        <w:t xml:space="preserve">(Službene novine Grada Bakra broj 16/23) </w:t>
      </w:r>
      <w:r w:rsidRPr="00F61B8D">
        <w:rPr>
          <w:rFonts w:ascii="Aptos" w:hAnsi="Aptos" w:cstheme="minorHAnsi"/>
          <w:sz w:val="22"/>
          <w:szCs w:val="22"/>
        </w:rPr>
        <w:t>usvojeno je smanjenje planiranih prihoda i primitaka odnosno rashoda i izdataka za 970.965,00€ odnosno za 5,7% u odnosu na važeći plan, tako da ukupno planirani prihodi i primici odnosno rashodi i izdaci za 2023. godinu iznose 15.979.605,00</w:t>
      </w:r>
      <w:r w:rsidR="00C54F0E">
        <w:rPr>
          <w:rFonts w:ascii="Aptos" w:hAnsi="Aptos" w:cstheme="minorHAnsi"/>
          <w:sz w:val="22"/>
          <w:szCs w:val="22"/>
        </w:rPr>
        <w:t xml:space="preserve"> </w:t>
      </w:r>
      <w:r w:rsidRPr="00F61B8D">
        <w:rPr>
          <w:rFonts w:ascii="Aptos" w:hAnsi="Aptos" w:cstheme="minorHAnsi"/>
          <w:sz w:val="22"/>
          <w:szCs w:val="22"/>
        </w:rPr>
        <w:t xml:space="preserve">€. </w:t>
      </w:r>
    </w:p>
    <w:p w14:paraId="56EB0460"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6 - PRIHODI POSLOVANJA</w:t>
      </w:r>
    </w:p>
    <w:p w14:paraId="1113B6A3"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p>
    <w:p w14:paraId="3C5243F0" w14:textId="44B55073"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Ukupno ostvareni prihodi poslovanja u ovom izvještajnom razdoblju iznose 13.</w:t>
      </w:r>
      <w:r>
        <w:rPr>
          <w:rFonts w:ascii="Aptos" w:hAnsi="Aptos" w:cstheme="minorHAnsi"/>
          <w:sz w:val="22"/>
          <w:szCs w:val="22"/>
        </w:rPr>
        <w:t>933.283,97</w:t>
      </w:r>
      <w:r w:rsidRPr="00F61B8D">
        <w:rPr>
          <w:rFonts w:ascii="Aptos" w:hAnsi="Aptos" w:cstheme="minorHAnsi"/>
          <w:sz w:val="22"/>
          <w:szCs w:val="22"/>
        </w:rPr>
        <w:t xml:space="preserve"> €, što je za 36,10% više u odnosu na prihode poslovanja iz 2022. godine, a prvenstveno zbog više ostvarenih prihoda od poreza, kapitaln</w:t>
      </w:r>
      <w:r w:rsidR="0069127B">
        <w:rPr>
          <w:rFonts w:ascii="Aptos" w:hAnsi="Aptos" w:cstheme="minorHAnsi"/>
          <w:sz w:val="22"/>
          <w:szCs w:val="22"/>
        </w:rPr>
        <w:t>ih</w:t>
      </w:r>
      <w:r w:rsidRPr="00F61B8D">
        <w:rPr>
          <w:rFonts w:ascii="Aptos" w:hAnsi="Aptos" w:cstheme="minorHAnsi"/>
          <w:sz w:val="22"/>
          <w:szCs w:val="22"/>
        </w:rPr>
        <w:t xml:space="preserve"> pomoći od izvanproračunskih korisnika, prihoda komunalnog doprinosa i komunalne naknade te ostvarenih donacija nefinancijske imovine od pravnih i fizičkih osoba izvan </w:t>
      </w:r>
      <w:proofErr w:type="spellStart"/>
      <w:r w:rsidRPr="00F61B8D">
        <w:rPr>
          <w:rFonts w:ascii="Aptos" w:hAnsi="Aptos" w:cstheme="minorHAnsi"/>
          <w:sz w:val="22"/>
          <w:szCs w:val="22"/>
        </w:rPr>
        <w:t>opoćeg</w:t>
      </w:r>
      <w:proofErr w:type="spellEnd"/>
      <w:r w:rsidRPr="00F61B8D">
        <w:rPr>
          <w:rFonts w:ascii="Aptos" w:hAnsi="Aptos" w:cstheme="minorHAnsi"/>
          <w:sz w:val="22"/>
          <w:szCs w:val="22"/>
        </w:rPr>
        <w:t xml:space="preserve"> proračuna.</w:t>
      </w:r>
    </w:p>
    <w:p w14:paraId="3B0514EC"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3.</w:t>
      </w:r>
    </w:p>
    <w:p w14:paraId="4D006731" w14:textId="77777777" w:rsidR="0085328F" w:rsidRPr="00F61B8D" w:rsidRDefault="0085328F" w:rsidP="0085328F">
      <w:pPr>
        <w:spacing w:before="80" w:after="80"/>
        <w:ind w:left="-425" w:right="-380" w:hanging="1"/>
        <w:rPr>
          <w:rFonts w:ascii="Aptos" w:hAnsi="Aptos" w:cs="Calibri"/>
          <w:b/>
          <w:bCs/>
          <w:color w:val="000000"/>
          <w:sz w:val="22"/>
          <w:szCs w:val="22"/>
        </w:rPr>
      </w:pPr>
      <w:r w:rsidRPr="00F61B8D">
        <w:rPr>
          <w:rFonts w:ascii="Aptos" w:hAnsi="Aptos" w:cstheme="minorHAnsi"/>
          <w:b/>
          <w:sz w:val="22"/>
          <w:szCs w:val="22"/>
        </w:rPr>
        <w:t>ŠIFRA 61 - Prihodi od poreza</w:t>
      </w:r>
    </w:p>
    <w:p w14:paraId="2383AB41"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Prihodi od poreza ostvareni su u ukupnom iznosu od 3.461.949,99 €, što je u odnosu na iste prihode ostvarene u istom razdoblju 2022. godine više za 19,6%. Povećanje poreznih prihoda evidentno je za sve vrste prihode od poreza na dohodak te prihoda od poreza na potrošnju alkoholnih i bezalkoholnih pića, što se svakako može pripisati većoj gospodarskoj aktivnosti na gradskom području, posebice u Industrijskoj zoni Kukuljanovo.</w:t>
      </w:r>
    </w:p>
    <w:p w14:paraId="0D4D9809" w14:textId="6C53BC48" w:rsidR="0085328F"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Povremeni porezi na imovinu odnose se na prihode od poreza na promet nekretnina – šifra 6134 koji su u odnosu na 202</w:t>
      </w:r>
      <w:r w:rsidR="0069127B">
        <w:rPr>
          <w:rFonts w:ascii="Aptos" w:hAnsi="Aptos" w:cstheme="minorHAnsi"/>
          <w:sz w:val="22"/>
          <w:szCs w:val="22"/>
        </w:rPr>
        <w:t>2</w:t>
      </w:r>
      <w:r w:rsidRPr="00F61B8D">
        <w:rPr>
          <w:rFonts w:ascii="Aptos" w:hAnsi="Aptos" w:cstheme="minorHAnsi"/>
          <w:sz w:val="22"/>
          <w:szCs w:val="22"/>
        </w:rPr>
        <w:t>. godinu manji za 30,5%, a njihovo je utvrđivanje i naplata u nadležnosti Porezne uprave i ovise o kretanjima na tržištu nekretnina koja tijekom ove godine pokazuju znakove stagnacije nakon perioda dugogodišnjeg rasta.</w:t>
      </w:r>
    </w:p>
    <w:p w14:paraId="1BB636A8" w14:textId="77777777" w:rsidR="0069127B" w:rsidRDefault="0069127B" w:rsidP="0085328F">
      <w:pPr>
        <w:spacing w:before="60" w:after="60"/>
        <w:ind w:left="-426" w:right="-380" w:firstLine="284"/>
        <w:jc w:val="both"/>
        <w:rPr>
          <w:rFonts w:ascii="Aptos" w:hAnsi="Aptos" w:cstheme="minorHAnsi"/>
          <w:sz w:val="22"/>
          <w:szCs w:val="22"/>
        </w:rPr>
      </w:pPr>
    </w:p>
    <w:p w14:paraId="2CDF870F" w14:textId="77777777" w:rsidR="0069127B" w:rsidRPr="00F61B8D" w:rsidRDefault="0069127B" w:rsidP="0085328F">
      <w:pPr>
        <w:spacing w:before="60" w:after="60"/>
        <w:ind w:left="-426" w:right="-380" w:firstLine="284"/>
        <w:jc w:val="both"/>
        <w:rPr>
          <w:rFonts w:ascii="Aptos" w:hAnsi="Aptos" w:cstheme="minorHAnsi"/>
          <w:sz w:val="22"/>
          <w:szCs w:val="22"/>
        </w:rPr>
      </w:pPr>
    </w:p>
    <w:p w14:paraId="74CE4651"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lastRenderedPageBreak/>
        <w:t>Bilješka 4.</w:t>
      </w:r>
    </w:p>
    <w:p w14:paraId="286C8258" w14:textId="77777777" w:rsidR="0085328F" w:rsidRPr="00F61B8D" w:rsidRDefault="0085328F" w:rsidP="0085328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63 - Pomoći iz inozemstva i od subjekata unutar općeg proračuna</w:t>
      </w:r>
    </w:p>
    <w:p w14:paraId="65D1399E"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 xml:space="preserve">U ovom razdoblju prihodi od pomoći ostvareni su u iznosu od 4.150.474,00 €, što je znatno više u odnosu na ostvarenje iz prošlogodišnjeg razdoblja. </w:t>
      </w:r>
    </w:p>
    <w:p w14:paraId="269C3F76" w14:textId="260078E1"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 xml:space="preserve">Tekuće pomoći proračunu iz drugih proračuna – šifra 6331 ostvarene su u ukupnom iznosu od 170.414,40 €, a obuhvaćaju tekuće pomoći iz županijskog proračuna namijenjene za </w:t>
      </w:r>
      <w:proofErr w:type="spellStart"/>
      <w:r w:rsidRPr="00F61B8D">
        <w:rPr>
          <w:rFonts w:ascii="Aptos" w:hAnsi="Aptos" w:cstheme="minorHAnsi"/>
          <w:sz w:val="22"/>
          <w:szCs w:val="22"/>
        </w:rPr>
        <w:t>izvaninstitucijsku</w:t>
      </w:r>
      <w:proofErr w:type="spellEnd"/>
      <w:r w:rsidRPr="00F61B8D">
        <w:rPr>
          <w:rFonts w:ascii="Aptos" w:hAnsi="Aptos" w:cstheme="minorHAnsi"/>
          <w:sz w:val="22"/>
          <w:szCs w:val="22"/>
        </w:rPr>
        <w:t xml:space="preserve"> skrb-pomoć u kući za jednu obitelj, sufinanciranje manifestacije Noć tvrđava u domu Frankopana te sufinanciranje izdavanja Bakarskog zbornika. U okviru ovih pomoći ostvarene su i tekuće pomoći iz državnog proračuna, a koje se odnose na sredstva fiskalnog izravnanja, sredstva za fiskalnu održivost dječjih vrtića za pedagošku godinu 2023./2024. te sredstva s osnove poticaja za dobrovoljno funkcionalno spajanje jedinica lokalne samouprave za obavljanje djelatnosti prijevoza putem zajedničkog komunalnog društva Autotrolej d.o.o. Rijeka.</w:t>
      </w:r>
    </w:p>
    <w:p w14:paraId="533B5C45"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 xml:space="preserve">Kapitalne pomoći proračunu iz drugih proračuna – šifra 6332 u iznosu od 26.544,56 € odnose se na kapitalnu pomoć iz državnog proračuna namijenjenu za sufinanciranje izvođenja radova na sanaciji konstrukcije II. kata i restauraciji oslika u muzeju palače </w:t>
      </w:r>
      <w:proofErr w:type="spellStart"/>
      <w:r w:rsidRPr="00F61B8D">
        <w:rPr>
          <w:rFonts w:ascii="Aptos" w:hAnsi="Aptos" w:cstheme="minorHAnsi"/>
          <w:sz w:val="22"/>
          <w:szCs w:val="22"/>
        </w:rPr>
        <w:t>Marochino</w:t>
      </w:r>
      <w:proofErr w:type="spellEnd"/>
      <w:r w:rsidRPr="00F61B8D">
        <w:rPr>
          <w:rFonts w:ascii="Aptos" w:hAnsi="Aptos" w:cstheme="minorHAnsi"/>
          <w:sz w:val="22"/>
          <w:szCs w:val="22"/>
        </w:rPr>
        <w:t>.</w:t>
      </w:r>
    </w:p>
    <w:p w14:paraId="274FAB12"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Tekuće pomoći od izvanproračunskih korisnika – šifra 6341 odnose se na pomoći Fonda za zaštitu okoliša i energetsku učinkovitost namijenjenu za sufinanciranje radnih podloga za izradu Akcijskog plana energetski održivog razvitka i prilagodbe klimatskim promjenama (SECAP) te sufinanciranje poticanja mjera odvojenog sakupljanja komunalnog otpada, a koje su ostvarene u iznosu od 10.901,13 €.</w:t>
      </w:r>
    </w:p>
    <w:p w14:paraId="36628983"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Kapitalne pomoći od izvanproračunskih korisnika – šifra 6342 koje su ostvarene u iznosu od 3.942.613,91 € odnose se na ostvarena sredstva sukladno Ugovoru o dodjeli bespovratnih sredstava i Ugovoru o sufinanciranju za NPOO projekt naziva „Izgradnja komunalne infrastrukture na području pod nadležnošću KD VIK-a Rijeka  - 2.dio“ sklopljenog između Ministarstva gospodarstva i održivog razvoja, Hrvatskih voda, KD Vodovod i kanalizacija d.o.o. te Grada Bakra.</w:t>
      </w:r>
    </w:p>
    <w:p w14:paraId="7D42345D"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U odnosu na 2022. godinu, pomoći temeljem prijenosa EU sredstava u ovom izvještajnom razdoblju nisu ostvarene.</w:t>
      </w:r>
    </w:p>
    <w:p w14:paraId="6FDFC274"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5.</w:t>
      </w:r>
    </w:p>
    <w:p w14:paraId="7633C0EB" w14:textId="77777777" w:rsidR="0085328F" w:rsidRPr="00F61B8D" w:rsidRDefault="0085328F" w:rsidP="0085328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64 - Prihodi od imovine</w:t>
      </w:r>
    </w:p>
    <w:p w14:paraId="3A7CDD0D"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U odnosu na prošlogodišnje razdoblje prihodi od imovine u 2023. godini ostvareni su za 46,</w:t>
      </w:r>
      <w:r>
        <w:rPr>
          <w:rFonts w:ascii="Aptos" w:hAnsi="Aptos" w:cstheme="minorHAnsi"/>
          <w:sz w:val="22"/>
          <w:szCs w:val="22"/>
        </w:rPr>
        <w:t>4</w:t>
      </w:r>
      <w:r w:rsidRPr="00F61B8D">
        <w:rPr>
          <w:rFonts w:ascii="Aptos" w:hAnsi="Aptos" w:cstheme="minorHAnsi"/>
          <w:sz w:val="22"/>
          <w:szCs w:val="22"/>
        </w:rPr>
        <w:t>% manje, što je rezultat poslovanja trgovačkog društva Industrijska zona Bakar d.o.o. Kukuljanovo iz 2022. godine, a samim time i isplate dobiti u iznosu od 868.285,96 €.</w:t>
      </w:r>
    </w:p>
    <w:p w14:paraId="633901EE" w14:textId="77777777"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S druge strane, a u okviru prihoda od financijske imovine evidentno je povećanje i ostvarenje prihoda od kamata na oročena sredstva – šifra 6413 sukladno Ugovoru o oročenom depozitu u iznosu od 39.599,15 €.</w:t>
      </w:r>
    </w:p>
    <w:p w14:paraId="1D0BE8DF" w14:textId="18BE24A4" w:rsidR="0085328F" w:rsidRPr="00F61B8D" w:rsidRDefault="0085328F" w:rsidP="0085328F">
      <w:pPr>
        <w:spacing w:before="60" w:after="60"/>
        <w:ind w:left="-426" w:right="-380" w:firstLine="284"/>
        <w:jc w:val="both"/>
        <w:rPr>
          <w:rFonts w:ascii="Aptos" w:hAnsi="Aptos" w:cstheme="minorHAnsi"/>
          <w:sz w:val="22"/>
          <w:szCs w:val="22"/>
        </w:rPr>
      </w:pPr>
      <w:r w:rsidRPr="00F61B8D">
        <w:rPr>
          <w:rFonts w:ascii="Aptos" w:hAnsi="Aptos" w:cstheme="minorHAnsi"/>
          <w:sz w:val="22"/>
          <w:szCs w:val="22"/>
        </w:rPr>
        <w:t xml:space="preserve">Prihodi od nefinancijske imovine ostvareni su u iznosu od </w:t>
      </w:r>
      <w:r>
        <w:rPr>
          <w:rFonts w:ascii="Aptos" w:hAnsi="Aptos" w:cstheme="minorHAnsi"/>
          <w:sz w:val="22"/>
          <w:szCs w:val="22"/>
        </w:rPr>
        <w:t>434.075,60</w:t>
      </w:r>
      <w:r w:rsidRPr="00F61B8D">
        <w:rPr>
          <w:rFonts w:ascii="Aptos" w:hAnsi="Aptos" w:cstheme="minorHAnsi"/>
          <w:sz w:val="22"/>
          <w:szCs w:val="22"/>
        </w:rPr>
        <w:t xml:space="preserve"> € ili za </w:t>
      </w:r>
      <w:r>
        <w:rPr>
          <w:rFonts w:ascii="Aptos" w:hAnsi="Aptos" w:cstheme="minorHAnsi"/>
          <w:sz w:val="22"/>
          <w:szCs w:val="22"/>
        </w:rPr>
        <w:t>49,5</w:t>
      </w:r>
      <w:r w:rsidRPr="00F61B8D">
        <w:rPr>
          <w:rFonts w:ascii="Aptos" w:hAnsi="Aptos" w:cstheme="minorHAnsi"/>
          <w:sz w:val="22"/>
          <w:szCs w:val="22"/>
        </w:rPr>
        <w:t>% više u odnosu na prošlu godinu, što je rezultat većeg ostvarenja prihoda od zakupa i iznajmljivanja imovine – šifra 6422 sukladno sklopljenom ugovoru o zakupu nekretnina na platou koksare po provedenom postupku javnog natječaja, kao i prihoda od naknada za korištenje nefinancijske imovine – šifra 6423 u okviru kojih je evidentirana naknada za pravo puta od strane infrastrukturnog operatora</w:t>
      </w:r>
      <w:r w:rsidR="0069127B">
        <w:rPr>
          <w:rFonts w:ascii="Aptos" w:hAnsi="Aptos" w:cstheme="minorHAnsi"/>
          <w:sz w:val="22"/>
          <w:szCs w:val="22"/>
        </w:rPr>
        <w:t xml:space="preserve"> </w:t>
      </w:r>
      <w:r w:rsidRPr="00F61B8D">
        <w:rPr>
          <w:rFonts w:ascii="Aptos" w:hAnsi="Aptos" w:cstheme="minorHAnsi"/>
          <w:sz w:val="22"/>
          <w:szCs w:val="22"/>
        </w:rPr>
        <w:t xml:space="preserve"> Hrvatski telekom d.d. sukladno Pravilniku o potvrdi i naknadi za pravo puta i zahtjevu Grada Bakra za utvrđivanje infrastrukturnog operatora i visine naknade za pravo puta.</w:t>
      </w:r>
    </w:p>
    <w:p w14:paraId="6CF16B95"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6.</w:t>
      </w:r>
    </w:p>
    <w:p w14:paraId="04B9124B" w14:textId="77777777" w:rsidR="0085328F" w:rsidRPr="00F61B8D" w:rsidRDefault="0085328F" w:rsidP="0085328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65 - Prihodi od upravnih i administrativnih pristojbi, pristojbi po posebnim propisima i naknada</w:t>
      </w:r>
    </w:p>
    <w:p w14:paraId="4AFF6EBC"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Ovi su prihodi ostvareni u iznosu od 4.64</w:t>
      </w:r>
      <w:r>
        <w:rPr>
          <w:rFonts w:ascii="Aptos" w:hAnsi="Aptos" w:cstheme="minorHAnsi"/>
          <w:sz w:val="22"/>
          <w:szCs w:val="22"/>
        </w:rPr>
        <w:t>9</w:t>
      </w:r>
      <w:r w:rsidRPr="00F61B8D">
        <w:rPr>
          <w:rFonts w:ascii="Aptos" w:hAnsi="Aptos" w:cstheme="minorHAnsi"/>
          <w:sz w:val="22"/>
          <w:szCs w:val="22"/>
        </w:rPr>
        <w:t>.</w:t>
      </w:r>
      <w:r>
        <w:rPr>
          <w:rFonts w:ascii="Aptos" w:hAnsi="Aptos" w:cstheme="minorHAnsi"/>
          <w:sz w:val="22"/>
          <w:szCs w:val="22"/>
        </w:rPr>
        <w:t>635,24</w:t>
      </w:r>
      <w:r w:rsidRPr="00F61B8D">
        <w:rPr>
          <w:rFonts w:ascii="Aptos" w:hAnsi="Aptos" w:cstheme="minorHAnsi"/>
          <w:sz w:val="22"/>
          <w:szCs w:val="22"/>
        </w:rPr>
        <w:t xml:space="preserve"> € ili za </w:t>
      </w:r>
      <w:r>
        <w:rPr>
          <w:rFonts w:ascii="Aptos" w:hAnsi="Aptos" w:cstheme="minorHAnsi"/>
          <w:sz w:val="22"/>
          <w:szCs w:val="22"/>
        </w:rPr>
        <w:t>10,0</w:t>
      </w:r>
      <w:r w:rsidRPr="00F61B8D">
        <w:rPr>
          <w:rFonts w:ascii="Aptos" w:hAnsi="Aptos" w:cstheme="minorHAnsi"/>
          <w:sz w:val="22"/>
          <w:szCs w:val="22"/>
        </w:rPr>
        <w:t>% više u odnosnu na prošlogodišnje ostvarenje.</w:t>
      </w:r>
    </w:p>
    <w:p w14:paraId="4447F192"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Uslijed obimnih građevinskih radova na izgradnji kanalizacijskog sustava i prateće infrastrukture u središtu grada, razne kulturne priredbe i manifestacije nisu održane te je izostao interes za zakup javnih </w:t>
      </w:r>
      <w:r w:rsidRPr="00F61B8D">
        <w:rPr>
          <w:rFonts w:ascii="Aptos" w:hAnsi="Aptos" w:cstheme="minorHAnsi"/>
          <w:sz w:val="22"/>
          <w:szCs w:val="22"/>
        </w:rPr>
        <w:lastRenderedPageBreak/>
        <w:t>površina radi obavljanja gospodarske djelatnosti na pokretnim radnjama, štandovima i sl., što se ogleda i u manjem ostvarenju gradskih pristojbi i naknada – šifra 6512 u iznosu od 117,83 €.</w:t>
      </w:r>
    </w:p>
    <w:p w14:paraId="170B4EA0"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Ostvarenje ostalih pristojbi i naknada – šifra 6514  veće je za 7,5% u usporedbi s prošlogodišnjim razdobljem, a obuhvaća ostvarenje prihoda od turističkih pristojbi zbog sve većeg razvoja turizma i kontinuiranog stvaranja uvjeta cjelogodišnje turističke ponude i prepoznatljivosti bakarskog kraja.</w:t>
      </w:r>
    </w:p>
    <w:p w14:paraId="27D408C6"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 okviru prihoda po posebnim propisima, prihodi od vodnog gospodarstva – šifra 6522 odnose se na sredstva u visini 8% naplaćenog vodnog doprinosa na gradskom području koje su Hrvatske vode obvezne Gradu Bakru doznačivati sukladno odredbama Zakona o financiranju vodnog gospodarstva. Sukladno izvještaju Hrvatskih voda prema kojem su do kraja proračunske godine obvezni izvršiti povrate određenim obveznicima, izostala je naplata navedenih prihoda.</w:t>
      </w:r>
    </w:p>
    <w:p w14:paraId="0C6153B2"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Manja su sredstva ostvarena od doprinosa za šume – šifra 6524 koji se sukladno Zakonu o šumama utvrđuje pravnim i fizičkim osobama, osim malim </w:t>
      </w:r>
      <w:proofErr w:type="spellStart"/>
      <w:r w:rsidRPr="00F61B8D">
        <w:rPr>
          <w:rFonts w:ascii="Aptos" w:hAnsi="Aptos" w:cstheme="minorHAnsi"/>
          <w:sz w:val="22"/>
          <w:szCs w:val="22"/>
        </w:rPr>
        <w:t>šumoposjednicima</w:t>
      </w:r>
      <w:proofErr w:type="spellEnd"/>
      <w:r w:rsidRPr="00F61B8D">
        <w:rPr>
          <w:rFonts w:ascii="Aptos" w:hAnsi="Aptos" w:cstheme="minorHAnsi"/>
          <w:sz w:val="22"/>
          <w:szCs w:val="22"/>
        </w:rPr>
        <w:t xml:space="preserve">, koje obavljaju prodaju proizvoda iskorištavanja šuma (drvni sortiment) i to u visini od 5% u odnosu na prodajnu cijenu proizvoda na panju. </w:t>
      </w:r>
    </w:p>
    <w:p w14:paraId="0CD49D3F" w14:textId="51907760"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Ostali nespomenuti prihodi – šifra 6526 ostvareni su u iznosu od </w:t>
      </w:r>
      <w:r>
        <w:rPr>
          <w:rFonts w:ascii="Aptos" w:hAnsi="Aptos" w:cstheme="minorHAnsi"/>
          <w:sz w:val="22"/>
          <w:szCs w:val="22"/>
        </w:rPr>
        <w:t>113.020,69</w:t>
      </w:r>
      <w:r w:rsidRPr="00F61B8D">
        <w:rPr>
          <w:rFonts w:ascii="Aptos" w:hAnsi="Aptos" w:cstheme="minorHAnsi"/>
          <w:sz w:val="22"/>
          <w:szCs w:val="22"/>
        </w:rPr>
        <w:t xml:space="preserve"> €</w:t>
      </w:r>
      <w:r w:rsidR="0069127B">
        <w:rPr>
          <w:rFonts w:ascii="Aptos" w:hAnsi="Aptos" w:cstheme="minorHAnsi"/>
          <w:sz w:val="22"/>
          <w:szCs w:val="22"/>
        </w:rPr>
        <w:t>,</w:t>
      </w:r>
      <w:r w:rsidRPr="00F61B8D">
        <w:rPr>
          <w:rFonts w:ascii="Aptos" w:hAnsi="Aptos" w:cstheme="minorHAnsi"/>
          <w:sz w:val="22"/>
          <w:szCs w:val="22"/>
        </w:rPr>
        <w:t xml:space="preserve"> što je za 4</w:t>
      </w:r>
      <w:r>
        <w:rPr>
          <w:rFonts w:ascii="Aptos" w:hAnsi="Aptos" w:cstheme="minorHAnsi"/>
          <w:sz w:val="22"/>
          <w:szCs w:val="22"/>
        </w:rPr>
        <w:t>4</w:t>
      </w:r>
      <w:r w:rsidRPr="00F61B8D">
        <w:rPr>
          <w:rFonts w:ascii="Aptos" w:hAnsi="Aptos" w:cstheme="minorHAnsi"/>
          <w:sz w:val="22"/>
          <w:szCs w:val="22"/>
        </w:rPr>
        <w:t>,</w:t>
      </w:r>
      <w:r>
        <w:rPr>
          <w:rFonts w:ascii="Aptos" w:hAnsi="Aptos" w:cstheme="minorHAnsi"/>
          <w:sz w:val="22"/>
          <w:szCs w:val="22"/>
        </w:rPr>
        <w:t>2</w:t>
      </w:r>
      <w:r w:rsidRPr="00F61B8D">
        <w:rPr>
          <w:rFonts w:ascii="Aptos" w:hAnsi="Aptos" w:cstheme="minorHAnsi"/>
          <w:sz w:val="22"/>
          <w:szCs w:val="22"/>
        </w:rPr>
        <w:t>% manje u odnosu na ostvarenje iz prošlogodišnjeg razdoblja. Ovi prihodi obuhvaćaju:</w:t>
      </w:r>
    </w:p>
    <w:p w14:paraId="53A13B99" w14:textId="77777777" w:rsidR="0085328F" w:rsidRPr="00F61B8D" w:rsidRDefault="0085328F" w:rsidP="0085328F">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 xml:space="preserve">prihode od povrata u gradski proračun - prihodi od refundacije troškova električne energije, plina i vode za korisnike poslovnih i stambenih prostora u vlasništvu Grada Bakra, prihodi od refundacije usluga logopeda, povrati u proračun s osnove više ili pogrešno uplaćenih sredstava i sl. </w:t>
      </w:r>
    </w:p>
    <w:p w14:paraId="6B7841E2" w14:textId="77777777" w:rsidR="0085328F" w:rsidRPr="00F61B8D" w:rsidRDefault="0085328F" w:rsidP="0085328F">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 xml:space="preserve">naknade za zadržavanje nezakonito izgrađenih zgrada u prostoru </w:t>
      </w:r>
    </w:p>
    <w:p w14:paraId="7F846B1E" w14:textId="77777777" w:rsidR="0085328F" w:rsidRPr="00F61B8D" w:rsidRDefault="0085328F" w:rsidP="0085328F">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ostale nespomenute prihode - prihodi s osnove osiguranja, prihodi s osnova troškova ovrhe i troškova postupka</w:t>
      </w:r>
    </w:p>
    <w:p w14:paraId="160E4D05"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Komunalni doprinosi i naknade – šifra 653 u ovom izvještajnom razdoblju ostvareni su za 13,1% više nego prošle godine, pri čemu je komunalni doprinos ostvaren u iznosu od 681.956,70 €, a komunalna naknada u iznosu od 3.838.863,06 €, kao posljedica veće gospodarske aktivnosti, kontinuiranih ulaganja i izgradnje novih poslovnih objekata i porasta broja gospodarskih subjekata na području Industrijske zone Kukuljanovo.</w:t>
      </w:r>
    </w:p>
    <w:p w14:paraId="3DAD7AAE"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7.</w:t>
      </w:r>
    </w:p>
    <w:p w14:paraId="43483216" w14:textId="77777777" w:rsidR="0085328F" w:rsidRPr="00F61B8D" w:rsidRDefault="0085328F" w:rsidP="0085328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66 - Prihodi od  prodaje proizvoda i roba, pruženih usluga te prihodi od donacija</w:t>
      </w:r>
    </w:p>
    <w:p w14:paraId="43B65DC5"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Ovi su prihodi realizirani u iznosu od 329.264,03 €, što je značajno više u usporedbi s ostvarenjem iz prošlogodišnjeg razdoblja. </w:t>
      </w:r>
    </w:p>
    <w:p w14:paraId="463817FF"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 okviru ovih prihoda ostvareni su prihodi od pruženih usluga – šifra 6615 za 2,2% više u odnosu na prošlu godinu, a odnose se na prihod od postotka naplaćene naknade za uređenje voda koju Grad Bakar obračunava i naplaćuje u ime i za račun Hrvatskih voda. </w:t>
      </w:r>
    </w:p>
    <w:p w14:paraId="70FD6BC6"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Za razliku od prošle godine kada nisu evidentirane donacije od fizičkih i pravnih osoba, u ovom su izvještajnom razdoblju ostvarene tekuće donacije – šifra 6631 u iznosu od 6.503,42 € koje se odnose na donaciju Zaklade Hrvatska za djecu namijenjenu za provedbu projekta „Snažna ja“ koji je fokusiran na mlade žene od navršene 16. do 29. godine života s prebivalištem na području Grada Bakra s ciljem educiranja i osnaživanja mladih žena te razvitka njihove samosvijesti. </w:t>
      </w:r>
    </w:p>
    <w:p w14:paraId="61DCA589" w14:textId="66F2D68B" w:rsidR="0085328F" w:rsidRPr="00F61B8D" w:rsidRDefault="0085328F" w:rsidP="005C379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Isto tako, ostvarene su i kapitalne donacije od pravnih i fizičkih osoba – šifra 6632 u iznosu od 242.326,93 € koje se odnose na prijenose prava vlasništva nekretnine bez naknade za potrebu gradnje prometne infrastrukture.</w:t>
      </w:r>
    </w:p>
    <w:p w14:paraId="68C754B4"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3 - RASHODI POSLOVANJA</w:t>
      </w:r>
    </w:p>
    <w:p w14:paraId="420978B9"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8.</w:t>
      </w:r>
    </w:p>
    <w:p w14:paraId="00692A4D" w14:textId="3694F60C" w:rsidR="0085328F" w:rsidRDefault="0085328F" w:rsidP="0085328F">
      <w:pPr>
        <w:spacing w:before="60" w:after="60"/>
        <w:ind w:left="-425" w:right="-380" w:firstLine="284"/>
        <w:jc w:val="both"/>
        <w:rPr>
          <w:rFonts w:ascii="Aptos" w:hAnsi="Aptos" w:cstheme="minorHAnsi"/>
          <w:sz w:val="22"/>
          <w:szCs w:val="22"/>
        </w:rPr>
      </w:pPr>
      <w:r w:rsidRPr="00820292">
        <w:rPr>
          <w:rFonts w:ascii="Aptos" w:hAnsi="Aptos" w:cstheme="minorHAnsi"/>
          <w:sz w:val="22"/>
          <w:szCs w:val="22"/>
        </w:rPr>
        <w:t xml:space="preserve">Ukupni rashodi poslovanja u ovom izvještajnom razdoblju iznose </w:t>
      </w:r>
      <w:r>
        <w:rPr>
          <w:rFonts w:ascii="Aptos" w:hAnsi="Aptos" w:cstheme="minorHAnsi"/>
          <w:sz w:val="22"/>
          <w:szCs w:val="22"/>
        </w:rPr>
        <w:t>6.19</w:t>
      </w:r>
      <w:r w:rsidR="005C379E">
        <w:rPr>
          <w:rFonts w:ascii="Aptos" w:hAnsi="Aptos" w:cstheme="minorHAnsi"/>
          <w:sz w:val="22"/>
          <w:szCs w:val="22"/>
        </w:rPr>
        <w:t>5</w:t>
      </w:r>
      <w:r>
        <w:rPr>
          <w:rFonts w:ascii="Aptos" w:hAnsi="Aptos" w:cstheme="minorHAnsi"/>
          <w:sz w:val="22"/>
          <w:szCs w:val="22"/>
        </w:rPr>
        <w:t>.</w:t>
      </w:r>
      <w:r w:rsidR="005C379E">
        <w:rPr>
          <w:rFonts w:ascii="Aptos" w:hAnsi="Aptos" w:cstheme="minorHAnsi"/>
          <w:sz w:val="22"/>
          <w:szCs w:val="22"/>
        </w:rPr>
        <w:t>178</w:t>
      </w:r>
      <w:r>
        <w:rPr>
          <w:rFonts w:ascii="Aptos" w:hAnsi="Aptos" w:cstheme="minorHAnsi"/>
          <w:sz w:val="22"/>
          <w:szCs w:val="22"/>
        </w:rPr>
        <w:t>,25 €</w:t>
      </w:r>
      <w:r w:rsidRPr="00820292">
        <w:rPr>
          <w:rFonts w:ascii="Aptos" w:hAnsi="Aptos" w:cstheme="minorHAnsi"/>
          <w:sz w:val="22"/>
          <w:szCs w:val="22"/>
        </w:rPr>
        <w:t xml:space="preserve">, što je za </w:t>
      </w:r>
      <w:r>
        <w:rPr>
          <w:rFonts w:ascii="Aptos" w:hAnsi="Aptos" w:cstheme="minorHAnsi"/>
          <w:sz w:val="22"/>
          <w:szCs w:val="22"/>
        </w:rPr>
        <w:t>8,1</w:t>
      </w:r>
      <w:r w:rsidRPr="00820292">
        <w:rPr>
          <w:rFonts w:ascii="Aptos" w:hAnsi="Aptos" w:cstheme="minorHAnsi"/>
          <w:sz w:val="22"/>
          <w:szCs w:val="22"/>
        </w:rPr>
        <w:t xml:space="preserve">% </w:t>
      </w:r>
      <w:r>
        <w:rPr>
          <w:rFonts w:ascii="Aptos" w:hAnsi="Aptos" w:cstheme="minorHAnsi"/>
          <w:sz w:val="22"/>
          <w:szCs w:val="22"/>
        </w:rPr>
        <w:t>više</w:t>
      </w:r>
      <w:r w:rsidRPr="00820292">
        <w:rPr>
          <w:rFonts w:ascii="Aptos" w:hAnsi="Aptos" w:cstheme="minorHAnsi"/>
          <w:sz w:val="22"/>
          <w:szCs w:val="22"/>
        </w:rPr>
        <w:t xml:space="preserve"> u odnosu na ostvarenje istih rashoda u 202</w:t>
      </w:r>
      <w:r>
        <w:rPr>
          <w:rFonts w:ascii="Aptos" w:hAnsi="Aptos" w:cstheme="minorHAnsi"/>
          <w:sz w:val="22"/>
          <w:szCs w:val="22"/>
        </w:rPr>
        <w:t>2</w:t>
      </w:r>
      <w:r w:rsidRPr="00820292">
        <w:rPr>
          <w:rFonts w:ascii="Aptos" w:hAnsi="Aptos" w:cstheme="minorHAnsi"/>
          <w:sz w:val="22"/>
          <w:szCs w:val="22"/>
        </w:rPr>
        <w:t>. godini</w:t>
      </w:r>
      <w:r>
        <w:rPr>
          <w:rFonts w:ascii="Aptos" w:hAnsi="Aptos" w:cstheme="minorHAnsi"/>
          <w:sz w:val="22"/>
          <w:szCs w:val="22"/>
        </w:rPr>
        <w:t>, pri čemu je veće ostvarenje evidentno za materijalne rashode, pomoći dane unutar općeg proračuna, naknade građanima i kućanstvima te ostale rashode.</w:t>
      </w:r>
    </w:p>
    <w:p w14:paraId="79AF54EE" w14:textId="77777777" w:rsidR="005C379E" w:rsidRDefault="005C379E" w:rsidP="0085328F">
      <w:pPr>
        <w:spacing w:before="60" w:after="60"/>
        <w:ind w:left="-425" w:right="-380" w:firstLine="284"/>
        <w:jc w:val="both"/>
        <w:rPr>
          <w:rFonts w:ascii="Aptos" w:hAnsi="Aptos" w:cstheme="minorHAnsi"/>
          <w:sz w:val="22"/>
          <w:szCs w:val="22"/>
        </w:rPr>
      </w:pPr>
    </w:p>
    <w:p w14:paraId="5D887E53"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lastRenderedPageBreak/>
        <w:t xml:space="preserve">Bilješka </w:t>
      </w:r>
      <w:r>
        <w:rPr>
          <w:rFonts w:ascii="Aptos" w:hAnsi="Aptos" w:cs="Calibri"/>
          <w:b/>
          <w:bCs/>
          <w:color w:val="000000"/>
          <w:sz w:val="22"/>
          <w:szCs w:val="22"/>
        </w:rPr>
        <w:t>9</w:t>
      </w:r>
      <w:r w:rsidRPr="00F61B8D">
        <w:rPr>
          <w:rFonts w:ascii="Aptos" w:hAnsi="Aptos" w:cs="Calibri"/>
          <w:b/>
          <w:bCs/>
          <w:color w:val="000000"/>
          <w:sz w:val="22"/>
          <w:szCs w:val="22"/>
        </w:rPr>
        <w:t>.</w:t>
      </w:r>
    </w:p>
    <w:p w14:paraId="58631264" w14:textId="77777777" w:rsidR="0085328F" w:rsidRPr="00820292" w:rsidRDefault="0085328F" w:rsidP="0085328F">
      <w:pPr>
        <w:spacing w:before="60" w:after="60"/>
        <w:ind w:left="-425" w:right="-380" w:hanging="1"/>
        <w:jc w:val="both"/>
        <w:rPr>
          <w:rFonts w:ascii="Aptos" w:hAnsi="Aptos" w:cstheme="minorHAnsi"/>
          <w:sz w:val="22"/>
          <w:szCs w:val="22"/>
        </w:rPr>
      </w:pPr>
      <w:r w:rsidRPr="00820292">
        <w:rPr>
          <w:rFonts w:ascii="Aptos" w:hAnsi="Aptos" w:cstheme="minorHAnsi"/>
          <w:b/>
          <w:sz w:val="22"/>
          <w:szCs w:val="22"/>
        </w:rPr>
        <w:t>ŠIFRA 31 - Rashodi za zaposlene</w:t>
      </w:r>
    </w:p>
    <w:p w14:paraId="6BC55F31"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Rashodi za zaposlene obuhvaćaju plaće za redovan rad, ostale rashode za zaposlene i doprinose na plaće, a realizirani su u iznosu od </w:t>
      </w:r>
      <w:r>
        <w:rPr>
          <w:rFonts w:ascii="Aptos" w:hAnsi="Aptos" w:cstheme="minorHAnsi"/>
          <w:sz w:val="22"/>
          <w:szCs w:val="22"/>
        </w:rPr>
        <w:t>516.848,67 €, što je na razini ostvarenja iz prošle godine</w:t>
      </w:r>
      <w:r w:rsidRPr="00F61B8D">
        <w:rPr>
          <w:rFonts w:ascii="Aptos" w:hAnsi="Aptos" w:cstheme="minorHAnsi"/>
          <w:sz w:val="22"/>
          <w:szCs w:val="22"/>
        </w:rPr>
        <w:t xml:space="preserve">. </w:t>
      </w:r>
    </w:p>
    <w:p w14:paraId="0DE1C4FA"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10</w:t>
      </w:r>
      <w:r w:rsidRPr="00F61B8D">
        <w:rPr>
          <w:rFonts w:ascii="Aptos" w:hAnsi="Aptos" w:cs="Calibri"/>
          <w:b/>
          <w:bCs/>
          <w:color w:val="000000"/>
          <w:sz w:val="22"/>
          <w:szCs w:val="22"/>
        </w:rPr>
        <w:t>.</w:t>
      </w:r>
    </w:p>
    <w:p w14:paraId="294E6D22" w14:textId="77777777" w:rsidR="0085328F" w:rsidRPr="00F61B8D" w:rsidRDefault="0085328F" w:rsidP="0085328F">
      <w:pPr>
        <w:pStyle w:val="Tijeloteksta-uvlaka3"/>
        <w:spacing w:before="60" w:after="60"/>
        <w:ind w:left="-425" w:firstLine="0"/>
        <w:rPr>
          <w:rFonts w:ascii="Aptos" w:hAnsi="Aptos" w:cstheme="minorHAnsi"/>
          <w:b/>
          <w:sz w:val="22"/>
          <w:szCs w:val="22"/>
        </w:rPr>
      </w:pPr>
      <w:r w:rsidRPr="00F61B8D">
        <w:rPr>
          <w:rFonts w:ascii="Aptos" w:hAnsi="Aptos" w:cstheme="minorHAnsi"/>
          <w:b/>
          <w:sz w:val="22"/>
          <w:szCs w:val="22"/>
        </w:rPr>
        <w:t xml:space="preserve">ŠIFRA 32 - </w:t>
      </w:r>
      <w:proofErr w:type="spellStart"/>
      <w:r w:rsidRPr="00F61B8D">
        <w:rPr>
          <w:rFonts w:ascii="Aptos" w:hAnsi="Aptos" w:cstheme="minorHAnsi"/>
          <w:b/>
          <w:sz w:val="22"/>
          <w:szCs w:val="22"/>
        </w:rPr>
        <w:t>Materijalni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rashodi</w:t>
      </w:r>
      <w:proofErr w:type="spellEnd"/>
    </w:p>
    <w:p w14:paraId="40BD81AD" w14:textId="3F417163"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Ostvarenje materijalnih rashoda iznosi </w:t>
      </w:r>
      <w:r>
        <w:rPr>
          <w:rFonts w:ascii="Aptos" w:hAnsi="Aptos" w:cstheme="minorHAnsi"/>
          <w:sz w:val="22"/>
          <w:szCs w:val="22"/>
        </w:rPr>
        <w:t>2.75</w:t>
      </w:r>
      <w:r w:rsidR="005C379E">
        <w:rPr>
          <w:rFonts w:ascii="Aptos" w:hAnsi="Aptos" w:cstheme="minorHAnsi"/>
          <w:sz w:val="22"/>
          <w:szCs w:val="22"/>
        </w:rPr>
        <w:t>6</w:t>
      </w:r>
      <w:r>
        <w:rPr>
          <w:rFonts w:ascii="Aptos" w:hAnsi="Aptos" w:cstheme="minorHAnsi"/>
          <w:sz w:val="22"/>
          <w:szCs w:val="22"/>
        </w:rPr>
        <w:t>.</w:t>
      </w:r>
      <w:r w:rsidR="005C379E">
        <w:rPr>
          <w:rFonts w:ascii="Aptos" w:hAnsi="Aptos" w:cstheme="minorHAnsi"/>
          <w:sz w:val="22"/>
          <w:szCs w:val="22"/>
        </w:rPr>
        <w:t>14</w:t>
      </w:r>
      <w:r>
        <w:rPr>
          <w:rFonts w:ascii="Aptos" w:hAnsi="Aptos" w:cstheme="minorHAnsi"/>
          <w:sz w:val="22"/>
          <w:szCs w:val="22"/>
        </w:rPr>
        <w:t>7,68 €</w:t>
      </w:r>
      <w:r w:rsidRPr="00F61B8D">
        <w:rPr>
          <w:rFonts w:ascii="Aptos" w:hAnsi="Aptos" w:cstheme="minorHAnsi"/>
          <w:sz w:val="22"/>
          <w:szCs w:val="22"/>
        </w:rPr>
        <w:t>, što je u odnosu na 202</w:t>
      </w:r>
      <w:r>
        <w:rPr>
          <w:rFonts w:ascii="Aptos" w:hAnsi="Aptos" w:cstheme="minorHAnsi"/>
          <w:sz w:val="22"/>
          <w:szCs w:val="22"/>
        </w:rPr>
        <w:t>2</w:t>
      </w:r>
      <w:r w:rsidRPr="00F61B8D">
        <w:rPr>
          <w:rFonts w:ascii="Aptos" w:hAnsi="Aptos" w:cstheme="minorHAnsi"/>
          <w:sz w:val="22"/>
          <w:szCs w:val="22"/>
        </w:rPr>
        <w:t xml:space="preserve">. godinu </w:t>
      </w:r>
      <w:r>
        <w:rPr>
          <w:rFonts w:ascii="Aptos" w:hAnsi="Aptos" w:cstheme="minorHAnsi"/>
          <w:sz w:val="22"/>
          <w:szCs w:val="22"/>
        </w:rPr>
        <w:t>veće</w:t>
      </w:r>
      <w:r w:rsidRPr="00F61B8D">
        <w:rPr>
          <w:rFonts w:ascii="Aptos" w:hAnsi="Aptos" w:cstheme="minorHAnsi"/>
          <w:sz w:val="22"/>
          <w:szCs w:val="22"/>
        </w:rPr>
        <w:t xml:space="preserve"> za </w:t>
      </w:r>
      <w:r>
        <w:rPr>
          <w:rFonts w:ascii="Aptos" w:hAnsi="Aptos" w:cstheme="minorHAnsi"/>
          <w:sz w:val="22"/>
          <w:szCs w:val="22"/>
        </w:rPr>
        <w:t>3,0</w:t>
      </w:r>
      <w:r w:rsidRPr="00F61B8D">
        <w:rPr>
          <w:rFonts w:ascii="Aptos" w:hAnsi="Aptos" w:cstheme="minorHAnsi"/>
          <w:sz w:val="22"/>
          <w:szCs w:val="22"/>
        </w:rPr>
        <w:t>%. U okviru ovih rashoda evidentno je povećanje rashoda za službena putovanja</w:t>
      </w:r>
      <w:r>
        <w:rPr>
          <w:rFonts w:ascii="Aptos" w:hAnsi="Aptos" w:cstheme="minorHAnsi"/>
          <w:sz w:val="22"/>
          <w:szCs w:val="22"/>
        </w:rPr>
        <w:t xml:space="preserve"> – šifra 3211</w:t>
      </w:r>
      <w:r w:rsidRPr="00F61B8D">
        <w:rPr>
          <w:rFonts w:ascii="Aptos" w:hAnsi="Aptos" w:cstheme="minorHAnsi"/>
          <w:sz w:val="22"/>
          <w:szCs w:val="22"/>
        </w:rPr>
        <w:t xml:space="preserve"> </w:t>
      </w:r>
      <w:r>
        <w:rPr>
          <w:rFonts w:ascii="Aptos" w:hAnsi="Aptos" w:cstheme="minorHAnsi"/>
          <w:sz w:val="22"/>
          <w:szCs w:val="22"/>
        </w:rPr>
        <w:t xml:space="preserve">uslijed sudjelovanja raznim stručnim seminarima i korištenja smještaja, </w:t>
      </w:r>
      <w:r w:rsidR="005C379E">
        <w:rPr>
          <w:rFonts w:ascii="Aptos" w:hAnsi="Aptos" w:cstheme="minorHAnsi"/>
          <w:sz w:val="22"/>
          <w:szCs w:val="22"/>
        </w:rPr>
        <w:t xml:space="preserve">zatim </w:t>
      </w:r>
      <w:r>
        <w:rPr>
          <w:rFonts w:ascii="Aptos" w:hAnsi="Aptos" w:cstheme="minorHAnsi"/>
          <w:sz w:val="22"/>
          <w:szCs w:val="22"/>
        </w:rPr>
        <w:t>materijala i dijelova za tekuće i investicijsko održavanje – šifra 3224 koji se odnose na održavanje komunalnog dvorišta i domova kulture, kao i rashoda za sitan inventar i auto gume – šifra 3225 uslijed nabave i zamjena guma za nova službena vozila.</w:t>
      </w:r>
    </w:p>
    <w:p w14:paraId="412498E6" w14:textId="5635093A"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Najveći udio u strukturi materijalnih rashoda imaju rashodi za usluge – šifra</w:t>
      </w:r>
      <w:r>
        <w:rPr>
          <w:rFonts w:ascii="Aptos" w:hAnsi="Aptos" w:cstheme="minorHAnsi"/>
          <w:sz w:val="22"/>
          <w:szCs w:val="22"/>
        </w:rPr>
        <w:t xml:space="preserve"> </w:t>
      </w:r>
      <w:r w:rsidRPr="00F61B8D">
        <w:rPr>
          <w:rFonts w:ascii="Aptos" w:hAnsi="Aptos" w:cstheme="minorHAnsi"/>
          <w:sz w:val="22"/>
          <w:szCs w:val="22"/>
        </w:rPr>
        <w:t xml:space="preserve">323 koji su realizirani u iznosu od </w:t>
      </w:r>
      <w:r>
        <w:rPr>
          <w:rFonts w:ascii="Aptos" w:hAnsi="Aptos" w:cstheme="minorHAnsi"/>
          <w:sz w:val="22"/>
          <w:szCs w:val="22"/>
        </w:rPr>
        <w:t>2.379.</w:t>
      </w:r>
      <w:r w:rsidR="005C379E">
        <w:rPr>
          <w:rFonts w:ascii="Aptos" w:hAnsi="Aptos" w:cstheme="minorHAnsi"/>
          <w:sz w:val="22"/>
          <w:szCs w:val="22"/>
        </w:rPr>
        <w:t>590</w:t>
      </w:r>
      <w:r>
        <w:rPr>
          <w:rFonts w:ascii="Aptos" w:hAnsi="Aptos" w:cstheme="minorHAnsi"/>
          <w:sz w:val="22"/>
          <w:szCs w:val="22"/>
        </w:rPr>
        <w:t>,63 €</w:t>
      </w:r>
      <w:r w:rsidRPr="00F61B8D">
        <w:rPr>
          <w:rFonts w:ascii="Aptos" w:hAnsi="Aptos" w:cstheme="minorHAnsi"/>
          <w:sz w:val="22"/>
          <w:szCs w:val="22"/>
        </w:rPr>
        <w:t xml:space="preserve"> ili za </w:t>
      </w:r>
      <w:r>
        <w:rPr>
          <w:rFonts w:ascii="Aptos" w:hAnsi="Aptos" w:cstheme="minorHAnsi"/>
          <w:sz w:val="22"/>
          <w:szCs w:val="22"/>
        </w:rPr>
        <w:t>6,</w:t>
      </w:r>
      <w:r w:rsidR="005C379E">
        <w:rPr>
          <w:rFonts w:ascii="Aptos" w:hAnsi="Aptos" w:cstheme="minorHAnsi"/>
          <w:sz w:val="22"/>
          <w:szCs w:val="22"/>
        </w:rPr>
        <w:t>5</w:t>
      </w:r>
      <w:r w:rsidRPr="00F61B8D">
        <w:rPr>
          <w:rFonts w:ascii="Aptos" w:hAnsi="Aptos" w:cstheme="minorHAnsi"/>
          <w:sz w:val="22"/>
          <w:szCs w:val="22"/>
        </w:rPr>
        <w:t xml:space="preserve">% </w:t>
      </w:r>
      <w:r>
        <w:rPr>
          <w:rFonts w:ascii="Aptos" w:hAnsi="Aptos" w:cstheme="minorHAnsi"/>
          <w:sz w:val="22"/>
          <w:szCs w:val="22"/>
        </w:rPr>
        <w:t>više</w:t>
      </w:r>
      <w:r w:rsidRPr="00F61B8D">
        <w:rPr>
          <w:rFonts w:ascii="Aptos" w:hAnsi="Aptos" w:cstheme="minorHAnsi"/>
          <w:sz w:val="22"/>
          <w:szCs w:val="22"/>
        </w:rPr>
        <w:t xml:space="preserve"> u odnosu na prošlu godinu</w:t>
      </w:r>
      <w:r>
        <w:rPr>
          <w:rFonts w:ascii="Aptos" w:hAnsi="Aptos" w:cstheme="minorHAnsi"/>
          <w:sz w:val="22"/>
          <w:szCs w:val="22"/>
        </w:rPr>
        <w:t xml:space="preserve">. </w:t>
      </w:r>
      <w:r w:rsidRPr="00F61B8D">
        <w:rPr>
          <w:rFonts w:ascii="Aptos" w:hAnsi="Aptos" w:cstheme="minorHAnsi"/>
          <w:sz w:val="22"/>
          <w:szCs w:val="22"/>
        </w:rPr>
        <w:t xml:space="preserve">Ovi rashodi se u najvećoj mjeri odnose na rashode za održavanje komunalne infrastrukture - održavanje cesta, javnih površina, javne rasvjete i ostalih komunalnih objekata, što svakako doprinosi boljem komunalnom standardu Grada Bakra. </w:t>
      </w:r>
      <w:r>
        <w:rPr>
          <w:rFonts w:ascii="Aptos" w:hAnsi="Aptos" w:cstheme="minorHAnsi"/>
          <w:sz w:val="22"/>
          <w:szCs w:val="22"/>
        </w:rPr>
        <w:t xml:space="preserve">Veća ostvarenja u odnosu na prošlu godinu evidentna su za usluge telefona, pošte i prijevoza – šifra 3231 za 12,8% radi povećanja cijene prijevoza gradskog komunalnog društva Dobra d.o.o. Kukuljanovo, za komunalne usluge – šifra 3234 za 18,7% uslijed uvođenja novog sustava odvoza otpada i osiguravanja dodatnih i nepredviđenih usluga zbrinjavanja i odvoza, za zdravstvene i veterinarske usluge – šifra 3236 za 28,1% uslijed povećanja cijene usluge i opsega </w:t>
      </w:r>
      <w:r w:rsidRPr="00B14611">
        <w:rPr>
          <w:rFonts w:ascii="Aptos" w:hAnsi="Aptos" w:cstheme="minorHAnsi"/>
          <w:sz w:val="22"/>
          <w:szCs w:val="22"/>
        </w:rPr>
        <w:t>hvatanja i zbrinjavanja napuštenih i izgubljenih životinja</w:t>
      </w:r>
      <w:r>
        <w:rPr>
          <w:rFonts w:ascii="Aptos" w:hAnsi="Aptos" w:cstheme="minorHAnsi"/>
          <w:sz w:val="22"/>
          <w:szCs w:val="22"/>
        </w:rPr>
        <w:t>, za intelektualne i osobne usluge – šifra 3237 za 55,</w:t>
      </w:r>
      <w:r w:rsidR="005C379E">
        <w:rPr>
          <w:rFonts w:ascii="Aptos" w:hAnsi="Aptos" w:cstheme="minorHAnsi"/>
          <w:sz w:val="22"/>
          <w:szCs w:val="22"/>
        </w:rPr>
        <w:t>9</w:t>
      </w:r>
      <w:r>
        <w:rPr>
          <w:rFonts w:ascii="Aptos" w:hAnsi="Aptos" w:cstheme="minorHAnsi"/>
          <w:sz w:val="22"/>
          <w:szCs w:val="22"/>
        </w:rPr>
        <w:t>%, što je uvjetovano korištenjem vanjskih usluga za potrebe izrade elaborata građenja i održavanja objekata, a</w:t>
      </w:r>
      <w:r w:rsidRPr="00B14611">
        <w:rPr>
          <w:rFonts w:ascii="Aptos" w:hAnsi="Aptos" w:cstheme="minorHAnsi"/>
          <w:sz w:val="22"/>
          <w:szCs w:val="22"/>
        </w:rPr>
        <w:t>rheološk</w:t>
      </w:r>
      <w:r>
        <w:rPr>
          <w:rFonts w:ascii="Aptos" w:hAnsi="Aptos" w:cstheme="minorHAnsi"/>
          <w:sz w:val="22"/>
          <w:szCs w:val="22"/>
        </w:rPr>
        <w:t>og</w:t>
      </w:r>
      <w:r w:rsidRPr="00B14611">
        <w:rPr>
          <w:rFonts w:ascii="Aptos" w:hAnsi="Aptos" w:cstheme="minorHAnsi"/>
          <w:sz w:val="22"/>
          <w:szCs w:val="22"/>
        </w:rPr>
        <w:t xml:space="preserve"> nadzor</w:t>
      </w:r>
      <w:r>
        <w:rPr>
          <w:rFonts w:ascii="Aptos" w:hAnsi="Aptos" w:cstheme="minorHAnsi"/>
          <w:sz w:val="22"/>
          <w:szCs w:val="22"/>
        </w:rPr>
        <w:t>a</w:t>
      </w:r>
      <w:r w:rsidRPr="00B14611">
        <w:rPr>
          <w:rFonts w:ascii="Aptos" w:hAnsi="Aptos" w:cstheme="minorHAnsi"/>
          <w:sz w:val="22"/>
          <w:szCs w:val="22"/>
        </w:rPr>
        <w:t xml:space="preserve"> prilikom izgradnje sustava ukopanih spremnika u Bakru</w:t>
      </w:r>
      <w:r>
        <w:rPr>
          <w:rFonts w:ascii="Aptos" w:hAnsi="Aptos" w:cstheme="minorHAnsi"/>
          <w:sz w:val="22"/>
          <w:szCs w:val="22"/>
        </w:rPr>
        <w:t xml:space="preserve">, </w:t>
      </w:r>
      <w:r w:rsidRPr="00786660">
        <w:rPr>
          <w:rFonts w:ascii="Aptos" w:hAnsi="Aptos" w:cstheme="minorHAnsi"/>
          <w:sz w:val="22"/>
          <w:szCs w:val="22"/>
        </w:rPr>
        <w:t>procjene vrijednosti u postupcima stjecanja i otuđenja nekretnina</w:t>
      </w:r>
      <w:r>
        <w:rPr>
          <w:rFonts w:ascii="Aptos" w:hAnsi="Aptos" w:cstheme="minorHAnsi"/>
          <w:sz w:val="22"/>
          <w:szCs w:val="22"/>
        </w:rPr>
        <w:t xml:space="preserve">, </w:t>
      </w:r>
      <w:r w:rsidRPr="00786660">
        <w:rPr>
          <w:rFonts w:ascii="Aptos" w:hAnsi="Aptos" w:cstheme="minorHAnsi"/>
          <w:sz w:val="22"/>
          <w:szCs w:val="22"/>
        </w:rPr>
        <w:t>za provedbu Programa zaštite divljači</w:t>
      </w:r>
      <w:r>
        <w:rPr>
          <w:rFonts w:ascii="Aptos" w:hAnsi="Aptos" w:cstheme="minorHAnsi"/>
          <w:sz w:val="22"/>
          <w:szCs w:val="22"/>
        </w:rPr>
        <w:t xml:space="preserve"> i sl. </w:t>
      </w:r>
      <w:r w:rsidRPr="00786660">
        <w:rPr>
          <w:rFonts w:ascii="Aptos" w:hAnsi="Aptos" w:cstheme="minorHAnsi"/>
          <w:sz w:val="22"/>
          <w:szCs w:val="22"/>
        </w:rPr>
        <w:t>Računalne usluge - šifra 3238 su veće 22,6% zbog povećanja cijene održavanja postojećih računalnih baza, dok su se rashodi za ostale usluge - šifra 3239 povećali za 6% što je uvjetovano povećanjem naknade Poreznoj upravi za provođenje naplate poreza i prireza na dohodak</w:t>
      </w:r>
      <w:r>
        <w:rPr>
          <w:rFonts w:ascii="Aptos" w:hAnsi="Aptos" w:cstheme="minorHAnsi"/>
          <w:sz w:val="22"/>
          <w:szCs w:val="22"/>
        </w:rPr>
        <w:t>.</w:t>
      </w:r>
    </w:p>
    <w:p w14:paraId="340A7B3C" w14:textId="29C4F5CF" w:rsidR="0085328F" w:rsidRDefault="0085328F" w:rsidP="0085328F">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U ovom izvještajnom razdoblju evidentirane su naknade troškova osobama izvan radnog odnosa – šifra 324, a koje se odnose na troškove </w:t>
      </w:r>
      <w:r w:rsidR="005C379E">
        <w:rPr>
          <w:rFonts w:ascii="Aptos" w:hAnsi="Aptos" w:cstheme="minorHAnsi"/>
          <w:sz w:val="22"/>
          <w:szCs w:val="22"/>
        </w:rPr>
        <w:t xml:space="preserve">za rad </w:t>
      </w:r>
      <w:r>
        <w:rPr>
          <w:rFonts w:ascii="Aptos" w:hAnsi="Aptos" w:cstheme="minorHAnsi"/>
          <w:sz w:val="22"/>
          <w:szCs w:val="22"/>
        </w:rPr>
        <w:t>Savjeta mladih Grada Bakra osnovanog krajem 2022. godine.</w:t>
      </w:r>
    </w:p>
    <w:p w14:paraId="0AE8D0D8" w14:textId="0416C9B7" w:rsidR="0085328F" w:rsidRDefault="0085328F" w:rsidP="005C379E">
      <w:pPr>
        <w:spacing w:before="60" w:after="60"/>
        <w:ind w:left="-425" w:right="-380" w:firstLine="284"/>
        <w:jc w:val="both"/>
        <w:rPr>
          <w:rFonts w:ascii="Aptos" w:hAnsi="Aptos" w:cstheme="minorHAnsi"/>
          <w:sz w:val="22"/>
          <w:szCs w:val="22"/>
        </w:rPr>
      </w:pPr>
      <w:r w:rsidRPr="001F1FE1">
        <w:rPr>
          <w:rFonts w:ascii="Aptos" w:hAnsi="Aptos" w:cstheme="minorHAnsi"/>
          <w:sz w:val="22"/>
          <w:szCs w:val="22"/>
        </w:rPr>
        <w:t xml:space="preserve">U odnosu na 2022. godinu ostvarenje ostalih nespomenutih rashoda poslovanja – šifra 329 u ovom izvještajnom razdoblju je manje za </w:t>
      </w:r>
      <w:r>
        <w:rPr>
          <w:rFonts w:ascii="Aptos" w:hAnsi="Aptos" w:cstheme="minorHAnsi"/>
          <w:sz w:val="22"/>
          <w:szCs w:val="22"/>
        </w:rPr>
        <w:t>7,6</w:t>
      </w:r>
      <w:r w:rsidRPr="00F61B8D">
        <w:rPr>
          <w:rFonts w:ascii="Aptos" w:hAnsi="Aptos" w:cstheme="minorHAnsi"/>
          <w:sz w:val="22"/>
          <w:szCs w:val="22"/>
        </w:rPr>
        <w:t>%</w:t>
      </w:r>
      <w:r>
        <w:rPr>
          <w:rFonts w:ascii="Aptos" w:hAnsi="Aptos" w:cstheme="minorHAnsi"/>
          <w:sz w:val="22"/>
          <w:szCs w:val="22"/>
        </w:rPr>
        <w:t xml:space="preserve"> iz razloga što su prošle godine isplaćeni troškovi sufinanciranja obnove zemljišnih knjiga za k.o. Škrljevo i k.o. Kukuljanovo. </w:t>
      </w:r>
      <w:r w:rsidRPr="001F1FE1">
        <w:rPr>
          <w:rFonts w:ascii="Aptos" w:hAnsi="Aptos" w:cstheme="minorHAnsi"/>
          <w:sz w:val="22"/>
          <w:szCs w:val="22"/>
        </w:rPr>
        <w:t>Gledajući po odjeljcima ekonomske klasifikacije u ovom izvještajnom razdoblju već</w:t>
      </w:r>
      <w:r>
        <w:rPr>
          <w:rFonts w:ascii="Aptos" w:hAnsi="Aptos" w:cstheme="minorHAnsi"/>
          <w:sz w:val="22"/>
          <w:szCs w:val="22"/>
        </w:rPr>
        <w:t>i</w:t>
      </w:r>
      <w:r w:rsidRPr="001F1FE1">
        <w:rPr>
          <w:rFonts w:ascii="Aptos" w:hAnsi="Aptos" w:cstheme="minorHAnsi"/>
          <w:sz w:val="22"/>
          <w:szCs w:val="22"/>
        </w:rPr>
        <w:t xml:space="preserve"> su </w:t>
      </w:r>
      <w:r>
        <w:rPr>
          <w:rFonts w:ascii="Aptos" w:hAnsi="Aptos" w:cstheme="minorHAnsi"/>
          <w:sz w:val="22"/>
          <w:szCs w:val="22"/>
        </w:rPr>
        <w:t xml:space="preserve">rashodi za premije osiguranja zbog nabave novih službenih vozila i potrebe njihova osiguranja, rashodi za </w:t>
      </w:r>
      <w:r w:rsidRPr="001F1FE1">
        <w:rPr>
          <w:rFonts w:ascii="Aptos" w:hAnsi="Aptos" w:cstheme="minorHAnsi"/>
          <w:sz w:val="22"/>
          <w:szCs w:val="22"/>
        </w:rPr>
        <w:t xml:space="preserve">reprezentaciju zbog </w:t>
      </w:r>
      <w:r>
        <w:rPr>
          <w:rFonts w:ascii="Aptos" w:hAnsi="Aptos" w:cstheme="minorHAnsi"/>
          <w:sz w:val="22"/>
          <w:szCs w:val="22"/>
        </w:rPr>
        <w:t>provođenja postojećih i uvođenja</w:t>
      </w:r>
      <w:r w:rsidRPr="001F1FE1">
        <w:rPr>
          <w:rFonts w:ascii="Aptos" w:hAnsi="Aptos" w:cstheme="minorHAnsi"/>
          <w:sz w:val="22"/>
          <w:szCs w:val="22"/>
        </w:rPr>
        <w:t xml:space="preserve"> </w:t>
      </w:r>
      <w:r>
        <w:rPr>
          <w:rFonts w:ascii="Aptos" w:hAnsi="Aptos" w:cstheme="minorHAnsi"/>
          <w:sz w:val="22"/>
          <w:szCs w:val="22"/>
        </w:rPr>
        <w:t xml:space="preserve">novih </w:t>
      </w:r>
      <w:r w:rsidRPr="001F1FE1">
        <w:rPr>
          <w:rFonts w:ascii="Aptos" w:hAnsi="Aptos" w:cstheme="minorHAnsi"/>
          <w:sz w:val="22"/>
          <w:szCs w:val="22"/>
        </w:rPr>
        <w:t xml:space="preserve">manifestacija </w:t>
      </w:r>
      <w:r>
        <w:rPr>
          <w:rFonts w:ascii="Aptos" w:hAnsi="Aptos" w:cstheme="minorHAnsi"/>
          <w:sz w:val="22"/>
          <w:szCs w:val="22"/>
        </w:rPr>
        <w:t xml:space="preserve">i programa, rashodi za članarine i norme u okviru kojih se  članski doprinos obračunava u propisanom postotku i ovisi o visini proračunskih sredstava, kao i rashodi za pristojbe i naknade uslijed većeg iznosa </w:t>
      </w:r>
      <w:r w:rsidRPr="003A6A4D">
        <w:rPr>
          <w:rFonts w:ascii="Aptos" w:hAnsi="Aptos" w:cstheme="minorHAnsi"/>
          <w:sz w:val="22"/>
          <w:szCs w:val="22"/>
        </w:rPr>
        <w:t>poticajne naknade za smanjenje količine miješanog komunalnog otpada obračunate od Fonda za zaštitu okoliša i energetsku učinkovitost.</w:t>
      </w:r>
      <w:r>
        <w:rPr>
          <w:rFonts w:ascii="Aptos" w:hAnsi="Aptos" w:cstheme="minorHAnsi"/>
          <w:sz w:val="22"/>
          <w:szCs w:val="22"/>
        </w:rPr>
        <w:t xml:space="preserve"> U ovom izvještajnom razdoblju evidentirani su troškovi sudskih postupaka – šifra 3296 sukladno nagodbi s Republikom Hrvatskom i tvrtkom Državne nekretnine d.o.o. Zagreb. </w:t>
      </w:r>
    </w:p>
    <w:p w14:paraId="20A09C41"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11</w:t>
      </w:r>
      <w:r w:rsidRPr="00F61B8D">
        <w:rPr>
          <w:rFonts w:ascii="Aptos" w:hAnsi="Aptos" w:cs="Calibri"/>
          <w:b/>
          <w:bCs/>
          <w:color w:val="000000"/>
          <w:sz w:val="22"/>
          <w:szCs w:val="22"/>
        </w:rPr>
        <w:t>.</w:t>
      </w:r>
    </w:p>
    <w:p w14:paraId="4C971C6A" w14:textId="77777777" w:rsidR="0085328F" w:rsidRPr="00F61B8D" w:rsidRDefault="0085328F" w:rsidP="0085328F">
      <w:pPr>
        <w:pStyle w:val="Tijeloteksta-uvlaka3"/>
        <w:spacing w:before="60" w:after="60"/>
        <w:ind w:left="-425" w:firstLine="0"/>
        <w:rPr>
          <w:rFonts w:ascii="Aptos" w:hAnsi="Aptos" w:cstheme="minorHAnsi"/>
          <w:b/>
          <w:sz w:val="22"/>
          <w:szCs w:val="22"/>
        </w:rPr>
      </w:pPr>
      <w:r w:rsidRPr="00F61B8D">
        <w:rPr>
          <w:rFonts w:ascii="Aptos" w:hAnsi="Aptos" w:cstheme="minorHAnsi"/>
          <w:b/>
          <w:sz w:val="22"/>
          <w:szCs w:val="22"/>
        </w:rPr>
        <w:t xml:space="preserve">ŠIFRA 34 - </w:t>
      </w:r>
      <w:proofErr w:type="spellStart"/>
      <w:r w:rsidRPr="00F61B8D">
        <w:rPr>
          <w:rFonts w:ascii="Aptos" w:hAnsi="Aptos" w:cstheme="minorHAnsi"/>
          <w:b/>
          <w:sz w:val="22"/>
          <w:szCs w:val="22"/>
        </w:rPr>
        <w:t>Financijski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rashodi</w:t>
      </w:r>
      <w:proofErr w:type="spellEnd"/>
    </w:p>
    <w:p w14:paraId="5C29EE31"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Financijski rashodi ostvareni su u iznosu od </w:t>
      </w:r>
      <w:r>
        <w:rPr>
          <w:rFonts w:ascii="Aptos" w:hAnsi="Aptos" w:cstheme="minorHAnsi"/>
          <w:sz w:val="22"/>
          <w:szCs w:val="22"/>
        </w:rPr>
        <w:t>18.865,62 €</w:t>
      </w:r>
      <w:r w:rsidRPr="00F61B8D">
        <w:rPr>
          <w:rFonts w:ascii="Aptos" w:hAnsi="Aptos" w:cstheme="minorHAnsi"/>
          <w:sz w:val="22"/>
          <w:szCs w:val="22"/>
        </w:rPr>
        <w:t xml:space="preserve">, a odnose se na kamate za primljene kredite i zajmove te bankarske usluge i usluge platnog prometa. U odnosu na prošlu godinu, ovi su rashodi manji </w:t>
      </w:r>
      <w:r>
        <w:rPr>
          <w:rFonts w:ascii="Aptos" w:hAnsi="Aptos" w:cstheme="minorHAnsi"/>
          <w:sz w:val="22"/>
          <w:szCs w:val="22"/>
        </w:rPr>
        <w:t xml:space="preserve">uslijed manjih iznosa kamata za primljeni kredit od </w:t>
      </w:r>
      <w:r w:rsidRPr="001B4414">
        <w:rPr>
          <w:rFonts w:ascii="Aptos" w:hAnsi="Aptos" w:cstheme="minorHAnsi"/>
          <w:sz w:val="22"/>
          <w:szCs w:val="22"/>
        </w:rPr>
        <w:t xml:space="preserve">Hrvatske banke za obnovu i razvitak za izgradnju i opremanje školske sportske dvorane i tri učionice te izgradnju igrališta OŠ </w:t>
      </w:r>
      <w:proofErr w:type="spellStart"/>
      <w:r w:rsidRPr="001B4414">
        <w:rPr>
          <w:rFonts w:ascii="Aptos" w:hAnsi="Aptos" w:cstheme="minorHAnsi"/>
          <w:sz w:val="22"/>
          <w:szCs w:val="22"/>
        </w:rPr>
        <w:t>Hreljin</w:t>
      </w:r>
      <w:proofErr w:type="spellEnd"/>
      <w:r w:rsidRPr="001B4414">
        <w:rPr>
          <w:rFonts w:ascii="Aptos" w:hAnsi="Aptos" w:cstheme="minorHAnsi"/>
          <w:sz w:val="22"/>
          <w:szCs w:val="22"/>
        </w:rPr>
        <w:t>, koji je u ovom izvještajnom razdoblju otplaćen u cijelosti.</w:t>
      </w:r>
    </w:p>
    <w:p w14:paraId="4FA3A5EA"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lastRenderedPageBreak/>
        <w:t xml:space="preserve">Bilješka </w:t>
      </w:r>
      <w:r>
        <w:rPr>
          <w:rFonts w:ascii="Aptos" w:hAnsi="Aptos" w:cs="Calibri"/>
          <w:b/>
          <w:bCs/>
          <w:color w:val="000000"/>
          <w:sz w:val="22"/>
          <w:szCs w:val="22"/>
        </w:rPr>
        <w:t>12</w:t>
      </w:r>
      <w:r w:rsidRPr="00F61B8D">
        <w:rPr>
          <w:rFonts w:ascii="Aptos" w:hAnsi="Aptos" w:cs="Calibri"/>
          <w:b/>
          <w:bCs/>
          <w:color w:val="000000"/>
          <w:sz w:val="22"/>
          <w:szCs w:val="22"/>
        </w:rPr>
        <w:t>.</w:t>
      </w:r>
    </w:p>
    <w:p w14:paraId="5420F339" w14:textId="77777777" w:rsidR="0085328F" w:rsidRPr="00F61B8D" w:rsidRDefault="0085328F" w:rsidP="0085328F">
      <w:pPr>
        <w:pStyle w:val="Tijeloteksta-uvlaka3"/>
        <w:spacing w:before="60" w:after="60"/>
        <w:ind w:left="-425" w:firstLine="0"/>
        <w:rPr>
          <w:rFonts w:ascii="Aptos" w:hAnsi="Aptos" w:cstheme="minorHAnsi"/>
          <w:b/>
          <w:sz w:val="22"/>
          <w:szCs w:val="22"/>
        </w:rPr>
      </w:pPr>
      <w:r w:rsidRPr="00F61B8D">
        <w:rPr>
          <w:rFonts w:ascii="Aptos" w:hAnsi="Aptos" w:cstheme="minorHAnsi"/>
          <w:b/>
          <w:sz w:val="22"/>
          <w:szCs w:val="22"/>
        </w:rPr>
        <w:t xml:space="preserve">ŠIFRA 35 - </w:t>
      </w:r>
      <w:proofErr w:type="spellStart"/>
      <w:r w:rsidRPr="00F61B8D">
        <w:rPr>
          <w:rFonts w:ascii="Aptos" w:hAnsi="Aptos" w:cstheme="minorHAnsi"/>
          <w:b/>
          <w:sz w:val="22"/>
          <w:szCs w:val="22"/>
        </w:rPr>
        <w:t>Subvencije</w:t>
      </w:r>
      <w:proofErr w:type="spellEnd"/>
    </w:p>
    <w:p w14:paraId="0F1FBD28"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Subvencije trgovačkim društvima u javnom sektoru odnose se na subvencije za usluge obavljanja javnog gradskog prijevoza društvu Autotrolej d.o.o. Rijeka u iznosu od </w:t>
      </w:r>
      <w:r>
        <w:rPr>
          <w:rFonts w:ascii="Aptos" w:hAnsi="Aptos" w:cstheme="minorHAnsi"/>
          <w:sz w:val="22"/>
          <w:szCs w:val="22"/>
        </w:rPr>
        <w:t>356.863,80 €</w:t>
      </w:r>
      <w:r w:rsidRPr="00F61B8D">
        <w:rPr>
          <w:rFonts w:ascii="Aptos" w:hAnsi="Aptos" w:cstheme="minorHAnsi"/>
          <w:sz w:val="22"/>
          <w:szCs w:val="22"/>
        </w:rPr>
        <w:t>. Ostvareni rashodi za subvenciju na razini su ostvarenja istih u 202</w:t>
      </w:r>
      <w:r>
        <w:rPr>
          <w:rFonts w:ascii="Aptos" w:hAnsi="Aptos" w:cstheme="minorHAnsi"/>
          <w:sz w:val="22"/>
          <w:szCs w:val="22"/>
        </w:rPr>
        <w:t>2</w:t>
      </w:r>
      <w:r w:rsidRPr="00F61B8D">
        <w:rPr>
          <w:rFonts w:ascii="Aptos" w:hAnsi="Aptos" w:cstheme="minorHAnsi"/>
          <w:sz w:val="22"/>
          <w:szCs w:val="22"/>
        </w:rPr>
        <w:t>. godini.</w:t>
      </w:r>
    </w:p>
    <w:p w14:paraId="4FA86D24"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13</w:t>
      </w:r>
      <w:r w:rsidRPr="00F61B8D">
        <w:rPr>
          <w:rFonts w:ascii="Aptos" w:hAnsi="Aptos" w:cs="Calibri"/>
          <w:b/>
          <w:bCs/>
          <w:color w:val="000000"/>
          <w:sz w:val="22"/>
          <w:szCs w:val="22"/>
        </w:rPr>
        <w:t>.</w:t>
      </w:r>
    </w:p>
    <w:p w14:paraId="0B6FCE1B" w14:textId="77777777" w:rsidR="0085328F" w:rsidRPr="00F61B8D" w:rsidRDefault="0085328F" w:rsidP="0085328F">
      <w:pPr>
        <w:pStyle w:val="Tijeloteksta-uvlaka3"/>
        <w:spacing w:before="60" w:after="60"/>
        <w:ind w:left="-426" w:firstLine="0"/>
        <w:rPr>
          <w:rFonts w:ascii="Aptos" w:hAnsi="Aptos" w:cstheme="minorHAnsi"/>
          <w:b/>
          <w:sz w:val="22"/>
          <w:szCs w:val="22"/>
        </w:rPr>
      </w:pPr>
      <w:r w:rsidRPr="00F61B8D">
        <w:rPr>
          <w:rFonts w:ascii="Aptos" w:hAnsi="Aptos" w:cstheme="minorHAnsi"/>
          <w:sz w:val="22"/>
          <w:szCs w:val="22"/>
        </w:rPr>
        <w:t xml:space="preserve"> </w:t>
      </w:r>
      <w:r w:rsidRPr="00F61B8D">
        <w:rPr>
          <w:rFonts w:ascii="Aptos" w:hAnsi="Aptos" w:cstheme="minorHAnsi"/>
          <w:b/>
          <w:bCs/>
          <w:sz w:val="22"/>
          <w:szCs w:val="22"/>
        </w:rPr>
        <w:t xml:space="preserve">ŠIFRA 36 - </w:t>
      </w:r>
      <w:proofErr w:type="spellStart"/>
      <w:r w:rsidRPr="00F61B8D">
        <w:rPr>
          <w:rFonts w:ascii="Aptos" w:hAnsi="Aptos" w:cstheme="minorHAnsi"/>
          <w:b/>
          <w:sz w:val="22"/>
          <w:szCs w:val="22"/>
        </w:rPr>
        <w:t>Pomoći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dane</w:t>
      </w:r>
      <w:proofErr w:type="spellEnd"/>
      <w:r w:rsidRPr="00F61B8D">
        <w:rPr>
          <w:rFonts w:ascii="Aptos" w:hAnsi="Aptos" w:cstheme="minorHAnsi"/>
          <w:b/>
          <w:sz w:val="22"/>
          <w:szCs w:val="22"/>
        </w:rPr>
        <w:t xml:space="preserve"> u </w:t>
      </w:r>
      <w:proofErr w:type="spellStart"/>
      <w:r w:rsidRPr="00F61B8D">
        <w:rPr>
          <w:rFonts w:ascii="Aptos" w:hAnsi="Aptos" w:cstheme="minorHAnsi"/>
          <w:b/>
          <w:sz w:val="22"/>
          <w:szCs w:val="22"/>
        </w:rPr>
        <w:t>inozemstvo</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unutar</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općeg</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proračuna</w:t>
      </w:r>
      <w:proofErr w:type="spellEnd"/>
    </w:p>
    <w:p w14:paraId="5B4294FC"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Pomoći unutar općeg proračuna ostvarene su u iznosu od </w:t>
      </w:r>
      <w:r>
        <w:rPr>
          <w:rFonts w:ascii="Aptos" w:hAnsi="Aptos" w:cstheme="minorHAnsi"/>
          <w:sz w:val="22"/>
          <w:szCs w:val="22"/>
        </w:rPr>
        <w:t>995.138,65 €</w:t>
      </w:r>
      <w:r w:rsidRPr="00F61B8D">
        <w:rPr>
          <w:rFonts w:ascii="Aptos" w:hAnsi="Aptos" w:cstheme="minorHAnsi"/>
          <w:sz w:val="22"/>
          <w:szCs w:val="22"/>
        </w:rPr>
        <w:t xml:space="preserve"> ili za </w:t>
      </w:r>
      <w:r>
        <w:rPr>
          <w:rFonts w:ascii="Aptos" w:hAnsi="Aptos" w:cstheme="minorHAnsi"/>
          <w:sz w:val="22"/>
          <w:szCs w:val="22"/>
        </w:rPr>
        <w:t>27,3</w:t>
      </w:r>
      <w:r w:rsidRPr="00F61B8D">
        <w:rPr>
          <w:rFonts w:ascii="Aptos" w:hAnsi="Aptos" w:cstheme="minorHAnsi"/>
          <w:sz w:val="22"/>
          <w:szCs w:val="22"/>
        </w:rPr>
        <w:t>% više u odnosu na ostvarenje prošle godine.</w:t>
      </w:r>
    </w:p>
    <w:p w14:paraId="245A63B6" w14:textId="77777777" w:rsidR="0085328F" w:rsidRDefault="0085328F" w:rsidP="0085328F">
      <w:pPr>
        <w:spacing w:before="60" w:after="60"/>
        <w:ind w:left="-425" w:right="-380" w:firstLine="284"/>
        <w:jc w:val="both"/>
        <w:rPr>
          <w:rFonts w:ascii="Aptos" w:hAnsi="Aptos" w:cstheme="minorHAnsi"/>
          <w:sz w:val="22"/>
          <w:szCs w:val="22"/>
        </w:rPr>
      </w:pPr>
      <w:r w:rsidRPr="00C1438E">
        <w:rPr>
          <w:rFonts w:ascii="Aptos" w:hAnsi="Aptos" w:cstheme="minorHAnsi"/>
          <w:sz w:val="22"/>
          <w:szCs w:val="22"/>
        </w:rPr>
        <w:t>Temeljem Sporazuma o uređenju međusobnih odnosa vezanih za realizaciju i opremanje te zajedničko korištenje postrojenja za sortiranje odvojeno prikupljenog otpada (</w:t>
      </w:r>
      <w:proofErr w:type="spellStart"/>
      <w:r w:rsidRPr="00C1438E">
        <w:rPr>
          <w:rFonts w:ascii="Aptos" w:hAnsi="Aptos" w:cstheme="minorHAnsi"/>
          <w:sz w:val="22"/>
          <w:szCs w:val="22"/>
        </w:rPr>
        <w:t>sortirnica</w:t>
      </w:r>
      <w:proofErr w:type="spellEnd"/>
      <w:r w:rsidRPr="00C1438E">
        <w:rPr>
          <w:rFonts w:ascii="Aptos" w:hAnsi="Aptos" w:cstheme="minorHAnsi"/>
          <w:sz w:val="22"/>
          <w:szCs w:val="22"/>
        </w:rPr>
        <w:t xml:space="preserve">) na lokaciji </w:t>
      </w:r>
      <w:proofErr w:type="spellStart"/>
      <w:r w:rsidRPr="00C1438E">
        <w:rPr>
          <w:rFonts w:ascii="Aptos" w:hAnsi="Aptos" w:cstheme="minorHAnsi"/>
          <w:sz w:val="22"/>
          <w:szCs w:val="22"/>
        </w:rPr>
        <w:t>Mihačeva</w:t>
      </w:r>
      <w:proofErr w:type="spellEnd"/>
      <w:r w:rsidRPr="00C1438E">
        <w:rPr>
          <w:rFonts w:ascii="Aptos" w:hAnsi="Aptos" w:cstheme="minorHAnsi"/>
          <w:sz w:val="22"/>
          <w:szCs w:val="22"/>
        </w:rPr>
        <w:t xml:space="preserve"> Draga, u ovoj su godini Gradu Rijeci isplaćena sredstva s osnove t</w:t>
      </w:r>
      <w:r>
        <w:rPr>
          <w:rFonts w:ascii="Aptos" w:hAnsi="Aptos" w:cstheme="minorHAnsi"/>
          <w:sz w:val="22"/>
          <w:szCs w:val="22"/>
        </w:rPr>
        <w:t>ekućih pomoći unutar općeg proračuna – šifra 3631 u iznosu od 1.776,51 € za zajedničko korištenje postrojenja, za razliku od prošle godine kada su isplaćena sredstva s osnove kapitalnih pomoći unutar općeg proračuna – šifra 3632 za izgradnju i opremanje navedenog postrojenja.</w:t>
      </w:r>
    </w:p>
    <w:p w14:paraId="3AB000A1" w14:textId="77777777" w:rsidR="0085328F" w:rsidRPr="00C84B67"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Pomoći proračunskim korisnicima drugih proračuna – šifra 366 iznose </w:t>
      </w:r>
      <w:r>
        <w:rPr>
          <w:rFonts w:ascii="Aptos" w:hAnsi="Aptos" w:cstheme="minorHAnsi"/>
          <w:sz w:val="22"/>
          <w:szCs w:val="22"/>
        </w:rPr>
        <w:t xml:space="preserve">139.849,74 € ili 12,5% više nego prošle godine uslijed većih troškova </w:t>
      </w:r>
      <w:r w:rsidRPr="00F61B8D">
        <w:rPr>
          <w:rFonts w:ascii="Aptos" w:hAnsi="Aptos" w:cstheme="minorHAnsi"/>
          <w:sz w:val="22"/>
          <w:szCs w:val="22"/>
        </w:rPr>
        <w:t>produženog boravka</w:t>
      </w:r>
      <w:r>
        <w:rPr>
          <w:rFonts w:ascii="Aptos" w:hAnsi="Aptos" w:cstheme="minorHAnsi"/>
          <w:sz w:val="22"/>
          <w:szCs w:val="22"/>
        </w:rPr>
        <w:t xml:space="preserve">. Osim troškova produženog boravka, ove pomoći obuhvaćaju i </w:t>
      </w:r>
      <w:r w:rsidRPr="00F61B8D">
        <w:rPr>
          <w:rFonts w:ascii="Aptos" w:hAnsi="Aptos" w:cstheme="minorHAnsi"/>
          <w:sz w:val="22"/>
          <w:szCs w:val="22"/>
        </w:rPr>
        <w:t xml:space="preserve">sufinanciranje troškova Doma zdravlja PGŽ za palijativnu skrb i posebno dežurstvo, sufinanciranje željezničkog javnog gradskog prijevoza, sufinanciranje rada Centra za poljoprivredu i ruralni razvoj PGŽ te kapitalnu pomoć OŠ Bakar za </w:t>
      </w:r>
      <w:r>
        <w:rPr>
          <w:rFonts w:ascii="Aptos" w:hAnsi="Aptos" w:cstheme="minorHAnsi"/>
          <w:sz w:val="22"/>
          <w:szCs w:val="22"/>
        </w:rPr>
        <w:t>nadogradnju video nadzora, doplatu popravka zvučnika i nadogradnju sustava ozvučenja u školi.</w:t>
      </w:r>
    </w:p>
    <w:p w14:paraId="0D14ED38"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Prijenos novčanih sredstava proračunskim korisnicima Grada Bakra – Dječjem vrtiću Bakar i Gradskoj knjižnici Bakar – šifra 367 iznosi </w:t>
      </w:r>
      <w:r>
        <w:rPr>
          <w:rFonts w:ascii="Aptos" w:hAnsi="Aptos" w:cstheme="minorHAnsi"/>
          <w:sz w:val="22"/>
          <w:szCs w:val="22"/>
        </w:rPr>
        <w:t xml:space="preserve">853.510,40 € ili za 28,9% više u odnosu na 2022. godinu, prvenstveno uslijed većeg broja zaposlenih, povećanja osnovice za obračun plaće i koeficijenata složenosti radnih mjesta, isplate otpremnine </w:t>
      </w:r>
      <w:r w:rsidRPr="00CD4E45">
        <w:rPr>
          <w:rFonts w:ascii="Aptos" w:hAnsi="Aptos" w:cstheme="minorHAnsi"/>
          <w:sz w:val="22"/>
          <w:szCs w:val="22"/>
        </w:rPr>
        <w:t>zbog odlaska u mirovinu i otpremnine zbog osobno uvjetovanog  otkaza, kao i uvođenja novih materijalnih prava za zaposlenike Dječjeg vrtića Bakar.</w:t>
      </w:r>
    </w:p>
    <w:p w14:paraId="76DD30D1"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14</w:t>
      </w:r>
      <w:r w:rsidRPr="00F61B8D">
        <w:rPr>
          <w:rFonts w:ascii="Aptos" w:hAnsi="Aptos" w:cs="Calibri"/>
          <w:b/>
          <w:bCs/>
          <w:color w:val="000000"/>
          <w:sz w:val="22"/>
          <w:szCs w:val="22"/>
        </w:rPr>
        <w:t>.</w:t>
      </w:r>
    </w:p>
    <w:p w14:paraId="1EA6B9F7" w14:textId="77777777" w:rsidR="0085328F" w:rsidRPr="007E55FE"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37 - </w:t>
      </w:r>
      <w:proofErr w:type="spellStart"/>
      <w:r w:rsidRPr="007E55FE">
        <w:rPr>
          <w:rFonts w:ascii="Aptos" w:hAnsi="Aptos" w:cstheme="minorHAnsi"/>
          <w:b/>
          <w:sz w:val="22"/>
          <w:szCs w:val="22"/>
        </w:rPr>
        <w:t>Naknade</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građanima</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i</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kućanstvima</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na</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temelju</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osiguranja</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i</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druge</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naknade</w:t>
      </w:r>
      <w:proofErr w:type="spellEnd"/>
    </w:p>
    <w:p w14:paraId="7D38EBE7" w14:textId="77777777" w:rsidR="0085328F" w:rsidRDefault="0085328F" w:rsidP="0085328F">
      <w:pPr>
        <w:spacing w:before="60" w:after="60"/>
        <w:ind w:left="-425" w:right="-380" w:firstLine="284"/>
        <w:jc w:val="both"/>
        <w:rPr>
          <w:rFonts w:ascii="Aptos" w:hAnsi="Aptos" w:cstheme="minorHAnsi"/>
          <w:sz w:val="22"/>
          <w:szCs w:val="22"/>
        </w:rPr>
      </w:pPr>
      <w:r w:rsidRPr="007E55FE">
        <w:rPr>
          <w:rFonts w:ascii="Aptos" w:hAnsi="Aptos" w:cstheme="minorHAnsi"/>
          <w:sz w:val="22"/>
          <w:szCs w:val="22"/>
        </w:rPr>
        <w:t xml:space="preserve">Navedene su naknade isplaćene za </w:t>
      </w:r>
      <w:r>
        <w:rPr>
          <w:rFonts w:ascii="Aptos" w:hAnsi="Aptos" w:cstheme="minorHAnsi"/>
          <w:sz w:val="22"/>
          <w:szCs w:val="22"/>
        </w:rPr>
        <w:t>14,5</w:t>
      </w:r>
      <w:r w:rsidRPr="007E55FE">
        <w:rPr>
          <w:rFonts w:ascii="Aptos" w:hAnsi="Aptos" w:cstheme="minorHAnsi"/>
          <w:sz w:val="22"/>
          <w:szCs w:val="22"/>
        </w:rPr>
        <w:t xml:space="preserve">% više u odnosu na ostvarenje prošle godine. Rezultat je to većih iznosa pojedinih prava propisanih novom Odlukom o socijalnoj skrbi Grada Bakra, kao što su prava socijalno ugroženih građana, pomoć socijalno ugroženim umirovljenicima, pomoć invalidnim i hendikepiranim osobama, dobrovoljnim darivateljima krvi kao i potpore roditeljima za novorođenčad. </w:t>
      </w:r>
    </w:p>
    <w:p w14:paraId="0BBEFF72" w14:textId="77777777" w:rsidR="0085328F" w:rsidRPr="007E55FE"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15</w:t>
      </w:r>
      <w:r w:rsidRPr="00F61B8D">
        <w:rPr>
          <w:rFonts w:ascii="Aptos" w:hAnsi="Aptos" w:cs="Calibri"/>
          <w:b/>
          <w:bCs/>
          <w:color w:val="000000"/>
          <w:sz w:val="22"/>
          <w:szCs w:val="22"/>
        </w:rPr>
        <w:t>.</w:t>
      </w:r>
    </w:p>
    <w:p w14:paraId="395A7C13" w14:textId="77777777" w:rsidR="0085328F" w:rsidRPr="007E55FE"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38 - </w:t>
      </w:r>
      <w:proofErr w:type="spellStart"/>
      <w:r w:rsidRPr="007E55FE">
        <w:rPr>
          <w:rFonts w:ascii="Aptos" w:hAnsi="Aptos" w:cstheme="minorHAnsi"/>
          <w:b/>
          <w:sz w:val="22"/>
          <w:szCs w:val="22"/>
        </w:rPr>
        <w:t>Ostali</w:t>
      </w:r>
      <w:proofErr w:type="spellEnd"/>
      <w:r w:rsidRPr="007E55FE">
        <w:rPr>
          <w:rFonts w:ascii="Aptos" w:hAnsi="Aptos" w:cstheme="minorHAnsi"/>
          <w:b/>
          <w:sz w:val="22"/>
          <w:szCs w:val="22"/>
        </w:rPr>
        <w:t xml:space="preserve"> </w:t>
      </w:r>
      <w:proofErr w:type="spellStart"/>
      <w:r w:rsidRPr="007E55FE">
        <w:rPr>
          <w:rFonts w:ascii="Aptos" w:hAnsi="Aptos" w:cstheme="minorHAnsi"/>
          <w:b/>
          <w:sz w:val="22"/>
          <w:szCs w:val="22"/>
        </w:rPr>
        <w:t>rashodi</w:t>
      </w:r>
      <w:proofErr w:type="spellEnd"/>
    </w:p>
    <w:p w14:paraId="5F56BF90"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Ostali rashodi obuhvaćaju tekuće donacije u novcu i naravi sukladno programima javnih potreba i odlukama gradonačelnika, kapitalne donacije neprofitnim organizacijama i komunalnim društvima u javnom sektoru te financiranje protupožarne i civilne zaštite. Ostali su rashodi ostvareni u iznosu od </w:t>
      </w:r>
      <w:r>
        <w:rPr>
          <w:rFonts w:ascii="Aptos" w:hAnsi="Aptos" w:cstheme="minorHAnsi"/>
          <w:sz w:val="22"/>
          <w:szCs w:val="22"/>
        </w:rPr>
        <w:t>865.063,86 €</w:t>
      </w:r>
      <w:r w:rsidRPr="00F61B8D">
        <w:rPr>
          <w:rFonts w:ascii="Aptos" w:hAnsi="Aptos" w:cstheme="minorHAnsi"/>
          <w:sz w:val="22"/>
          <w:szCs w:val="22"/>
        </w:rPr>
        <w:t>, što je u odnosu na iste rashode ostvarene u 202</w:t>
      </w:r>
      <w:r>
        <w:rPr>
          <w:rFonts w:ascii="Aptos" w:hAnsi="Aptos" w:cstheme="minorHAnsi"/>
          <w:sz w:val="22"/>
          <w:szCs w:val="22"/>
        </w:rPr>
        <w:t>2</w:t>
      </w:r>
      <w:r w:rsidRPr="00F61B8D">
        <w:rPr>
          <w:rFonts w:ascii="Aptos" w:hAnsi="Aptos" w:cstheme="minorHAnsi"/>
          <w:sz w:val="22"/>
          <w:szCs w:val="22"/>
        </w:rPr>
        <w:t xml:space="preserve">. godini </w:t>
      </w:r>
      <w:r>
        <w:rPr>
          <w:rFonts w:ascii="Aptos" w:hAnsi="Aptos" w:cstheme="minorHAnsi"/>
          <w:sz w:val="22"/>
          <w:szCs w:val="22"/>
        </w:rPr>
        <w:t xml:space="preserve">više </w:t>
      </w:r>
      <w:r w:rsidRPr="00F61B8D">
        <w:rPr>
          <w:rFonts w:ascii="Aptos" w:hAnsi="Aptos" w:cstheme="minorHAnsi"/>
          <w:sz w:val="22"/>
          <w:szCs w:val="22"/>
        </w:rPr>
        <w:t xml:space="preserve">za </w:t>
      </w:r>
      <w:r>
        <w:rPr>
          <w:rFonts w:ascii="Aptos" w:hAnsi="Aptos" w:cstheme="minorHAnsi"/>
          <w:sz w:val="22"/>
          <w:szCs w:val="22"/>
        </w:rPr>
        <w:t>20,6</w:t>
      </w:r>
      <w:r w:rsidRPr="00F61B8D">
        <w:rPr>
          <w:rFonts w:ascii="Aptos" w:hAnsi="Aptos" w:cstheme="minorHAnsi"/>
          <w:sz w:val="22"/>
          <w:szCs w:val="22"/>
        </w:rPr>
        <w:t>%.</w:t>
      </w:r>
    </w:p>
    <w:p w14:paraId="1DFFEF46"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Tekuće donacije – šifra 381 obuhvaćaju sufinanciranje sporta i rekreacije, protupožarne i civilne zaštite, kulturnog stvaralaštva i raznih manifestacija koje se održavaju putem Turističke zajednice Grada Bakra, sufinanciranje programa civilnog društva, rada Crvenog križa, programa pomoći u kući, bespovratne potpore poduzetnicima te naknade za rad političkih stranaka</w:t>
      </w:r>
      <w:r>
        <w:rPr>
          <w:rFonts w:ascii="Aptos" w:hAnsi="Aptos" w:cstheme="minorHAnsi"/>
          <w:sz w:val="22"/>
          <w:szCs w:val="22"/>
        </w:rPr>
        <w:t>.</w:t>
      </w:r>
    </w:p>
    <w:p w14:paraId="7E8B22D9" w14:textId="77777777" w:rsidR="0085328F" w:rsidRDefault="0085328F" w:rsidP="0085328F">
      <w:pPr>
        <w:spacing w:before="60" w:after="60"/>
        <w:ind w:left="-425" w:right="-380" w:firstLine="284"/>
        <w:jc w:val="both"/>
        <w:rPr>
          <w:rFonts w:ascii="Aptos" w:hAnsi="Aptos" w:cstheme="minorHAnsi"/>
          <w:sz w:val="22"/>
          <w:szCs w:val="22"/>
        </w:rPr>
      </w:pPr>
      <w:r>
        <w:rPr>
          <w:rFonts w:ascii="Aptos" w:hAnsi="Aptos" w:cstheme="minorHAnsi"/>
          <w:sz w:val="22"/>
          <w:szCs w:val="22"/>
        </w:rPr>
        <w:t>K</w:t>
      </w:r>
      <w:r w:rsidRPr="00F61B8D">
        <w:rPr>
          <w:rFonts w:ascii="Aptos" w:hAnsi="Aptos" w:cstheme="minorHAnsi"/>
          <w:sz w:val="22"/>
          <w:szCs w:val="22"/>
        </w:rPr>
        <w:t>apitalna donacija – šifra 382</w:t>
      </w:r>
      <w:r>
        <w:rPr>
          <w:rFonts w:ascii="Aptos" w:hAnsi="Aptos" w:cstheme="minorHAnsi"/>
          <w:sz w:val="22"/>
          <w:szCs w:val="22"/>
        </w:rPr>
        <w:t xml:space="preserve"> isplaćena je u znatno većem iznosu nego prošle godine, a odnosi se na</w:t>
      </w:r>
      <w:r w:rsidRPr="00F61B8D">
        <w:rPr>
          <w:rFonts w:ascii="Aptos" w:hAnsi="Aptos" w:cstheme="minorHAnsi"/>
          <w:sz w:val="22"/>
          <w:szCs w:val="22"/>
        </w:rPr>
        <w:t xml:space="preserve"> </w:t>
      </w:r>
      <w:r w:rsidRPr="007E55FE">
        <w:rPr>
          <w:rFonts w:ascii="Aptos" w:hAnsi="Aptos" w:cstheme="minorHAnsi"/>
          <w:sz w:val="22"/>
          <w:szCs w:val="22"/>
        </w:rPr>
        <w:t xml:space="preserve">donaciju lovačkom društvu za nabavu opreme u svrhu provođenja Programa zaštite divljači za površine izvan lovišta na području Grada Bakra (Službene novine Grada Bakra broj 04/22), donaciju Župi sv. Jurja u </w:t>
      </w:r>
      <w:proofErr w:type="spellStart"/>
      <w:r w:rsidRPr="007E55FE">
        <w:rPr>
          <w:rFonts w:ascii="Aptos" w:hAnsi="Aptos" w:cstheme="minorHAnsi"/>
          <w:sz w:val="22"/>
          <w:szCs w:val="22"/>
        </w:rPr>
        <w:t>Hreljinu</w:t>
      </w:r>
      <w:proofErr w:type="spellEnd"/>
      <w:r w:rsidRPr="007E55FE">
        <w:rPr>
          <w:rFonts w:ascii="Aptos" w:hAnsi="Aptos" w:cstheme="minorHAnsi"/>
          <w:sz w:val="22"/>
          <w:szCs w:val="22"/>
        </w:rPr>
        <w:t xml:space="preserve"> za sanaciju krovišta na kapelici Majke Božje Snježne u starom gradu </w:t>
      </w:r>
      <w:proofErr w:type="spellStart"/>
      <w:r w:rsidRPr="007E55FE">
        <w:rPr>
          <w:rFonts w:ascii="Aptos" w:hAnsi="Aptos" w:cstheme="minorHAnsi"/>
          <w:sz w:val="22"/>
          <w:szCs w:val="22"/>
        </w:rPr>
        <w:t>Hreljin</w:t>
      </w:r>
      <w:proofErr w:type="spellEnd"/>
      <w:r w:rsidRPr="007E55FE">
        <w:rPr>
          <w:rFonts w:ascii="Aptos" w:hAnsi="Aptos" w:cstheme="minorHAnsi"/>
          <w:sz w:val="22"/>
          <w:szCs w:val="22"/>
        </w:rPr>
        <w:t xml:space="preserve">, donaciju </w:t>
      </w:r>
      <w:r w:rsidRPr="007E55FE">
        <w:rPr>
          <w:rFonts w:ascii="Aptos" w:hAnsi="Aptos" w:cstheme="minorHAnsi"/>
          <w:sz w:val="22"/>
          <w:szCs w:val="22"/>
        </w:rPr>
        <w:lastRenderedPageBreak/>
        <w:t xml:space="preserve">Nogometnom klubu Naprijed za nabavku traktorske kosilice, te Nogometnom klubu Borac za nabavku </w:t>
      </w:r>
      <w:proofErr w:type="spellStart"/>
      <w:r w:rsidRPr="007E55FE">
        <w:rPr>
          <w:rFonts w:ascii="Aptos" w:hAnsi="Aptos" w:cstheme="minorHAnsi"/>
          <w:sz w:val="22"/>
          <w:szCs w:val="22"/>
        </w:rPr>
        <w:t>glider</w:t>
      </w:r>
      <w:proofErr w:type="spellEnd"/>
      <w:r w:rsidRPr="007E55FE">
        <w:rPr>
          <w:rFonts w:ascii="Aptos" w:hAnsi="Aptos" w:cstheme="minorHAnsi"/>
          <w:sz w:val="22"/>
          <w:szCs w:val="22"/>
        </w:rPr>
        <w:t xml:space="preserve"> mreže.</w:t>
      </w:r>
    </w:p>
    <w:p w14:paraId="3AC4D78B" w14:textId="77777777" w:rsidR="0085328F" w:rsidRPr="007E55FE" w:rsidRDefault="0085328F" w:rsidP="0085328F">
      <w:pPr>
        <w:spacing w:before="60" w:after="60"/>
        <w:ind w:left="-425" w:right="-380" w:firstLine="284"/>
        <w:jc w:val="both"/>
        <w:rPr>
          <w:rFonts w:ascii="Aptos" w:hAnsi="Aptos" w:cstheme="minorHAnsi"/>
          <w:sz w:val="22"/>
          <w:szCs w:val="22"/>
        </w:rPr>
      </w:pPr>
      <w:r w:rsidRPr="007E55FE">
        <w:rPr>
          <w:rFonts w:ascii="Aptos" w:hAnsi="Aptos" w:cstheme="minorHAnsi"/>
          <w:sz w:val="22"/>
          <w:szCs w:val="22"/>
        </w:rPr>
        <w:t>Kapitalne pomoći – šifra 3861 u iznosu od 61.650,23 € isplaćene su komunalnom društvu Autotrolej d.o.o. za utrošak sredstava razvoja.</w:t>
      </w:r>
    </w:p>
    <w:p w14:paraId="2C8DBAF3"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7 - PRIHODI OD PRODAJE NEFINANCIJSKE IMOVINE</w:t>
      </w:r>
    </w:p>
    <w:p w14:paraId="5449D2BE"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16</w:t>
      </w:r>
      <w:r w:rsidRPr="00F61B8D">
        <w:rPr>
          <w:rFonts w:ascii="Aptos" w:hAnsi="Aptos" w:cs="Calibri"/>
          <w:b/>
          <w:bCs/>
          <w:color w:val="000000"/>
          <w:sz w:val="22"/>
          <w:szCs w:val="22"/>
        </w:rPr>
        <w:t>.</w:t>
      </w:r>
    </w:p>
    <w:p w14:paraId="2F26B464" w14:textId="5332DDDE"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 odnosu na isto izvještajno razdoblje prošle godine ovi su prihodi ostvareni u znatno manjem iznosu, što se prvenstveno odnosi na prihode od prodaje zemljišta u vlasništvu Grada Bakra – šifra 7111 koji su ostvareni u iznosu od 78.431,82</w:t>
      </w:r>
      <w:r w:rsidR="006D0455">
        <w:rPr>
          <w:rFonts w:ascii="Aptos" w:hAnsi="Aptos" w:cstheme="minorHAnsi"/>
          <w:sz w:val="22"/>
          <w:szCs w:val="22"/>
        </w:rPr>
        <w:t xml:space="preserve"> </w:t>
      </w:r>
      <w:r w:rsidRPr="00F61B8D">
        <w:rPr>
          <w:rFonts w:ascii="Aptos" w:hAnsi="Aptos" w:cstheme="minorHAnsi"/>
          <w:sz w:val="22"/>
          <w:szCs w:val="22"/>
        </w:rPr>
        <w:t>€.</w:t>
      </w:r>
    </w:p>
    <w:p w14:paraId="7AE33358"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Prihodi od prodaje stambenih objekata – šifra 7211 obuhvaćaju prvenstveno mjesečne anuitete po otplatama kredita građana koji su od Grada Bakra kupili stanove iz razdoblja 1996 - 1998. godine, a u odnosu na 2022. godinu značajno su veći radi realizirane kupoprodaje gradskog stambenog objekta u iznosu od </w:t>
      </w:r>
      <w:r w:rsidRPr="00755235">
        <w:rPr>
          <w:rFonts w:ascii="Aptos" w:hAnsi="Aptos" w:cstheme="minorHAnsi"/>
          <w:sz w:val="22"/>
          <w:szCs w:val="22"/>
        </w:rPr>
        <w:t>54</w:t>
      </w:r>
      <w:r>
        <w:rPr>
          <w:rFonts w:ascii="Aptos" w:hAnsi="Aptos" w:cstheme="minorHAnsi"/>
          <w:sz w:val="22"/>
          <w:szCs w:val="22"/>
        </w:rPr>
        <w:t>.</w:t>
      </w:r>
      <w:r w:rsidRPr="00755235">
        <w:rPr>
          <w:rFonts w:ascii="Aptos" w:hAnsi="Aptos" w:cstheme="minorHAnsi"/>
          <w:sz w:val="22"/>
          <w:szCs w:val="22"/>
        </w:rPr>
        <w:t>018</w:t>
      </w:r>
      <w:r>
        <w:rPr>
          <w:rFonts w:ascii="Aptos" w:hAnsi="Aptos" w:cstheme="minorHAnsi"/>
          <w:sz w:val="22"/>
          <w:szCs w:val="22"/>
        </w:rPr>
        <w:t>,</w:t>
      </w:r>
      <w:r w:rsidRPr="00755235">
        <w:rPr>
          <w:rFonts w:ascii="Aptos" w:hAnsi="Aptos" w:cstheme="minorHAnsi"/>
          <w:sz w:val="22"/>
          <w:szCs w:val="22"/>
        </w:rPr>
        <w:t>18</w:t>
      </w:r>
      <w:r>
        <w:rPr>
          <w:rFonts w:ascii="Aptos" w:hAnsi="Aptos" w:cstheme="minorHAnsi"/>
          <w:sz w:val="22"/>
          <w:szCs w:val="22"/>
        </w:rPr>
        <w:t xml:space="preserve"> </w:t>
      </w:r>
      <w:r w:rsidRPr="00F61B8D">
        <w:rPr>
          <w:rFonts w:ascii="Aptos" w:hAnsi="Aptos" w:cstheme="minorHAnsi"/>
          <w:sz w:val="22"/>
          <w:szCs w:val="22"/>
        </w:rPr>
        <w:t>€.</w:t>
      </w:r>
    </w:p>
    <w:p w14:paraId="7935C10F"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 okviru ovih prihoda ostvareni su i prihodi od prodaje prijevoznih sredstava – šifra 7231 u iznosu od 10.640,00 € sukladno postignutoj kupoprodajnoj cijeni </w:t>
      </w:r>
      <w:r>
        <w:rPr>
          <w:rFonts w:ascii="Aptos" w:hAnsi="Aptos" w:cstheme="minorHAnsi"/>
          <w:sz w:val="22"/>
          <w:szCs w:val="22"/>
        </w:rPr>
        <w:t xml:space="preserve">dvaju </w:t>
      </w:r>
      <w:r w:rsidRPr="00F61B8D">
        <w:rPr>
          <w:rFonts w:ascii="Aptos" w:hAnsi="Aptos" w:cstheme="minorHAnsi"/>
          <w:sz w:val="22"/>
          <w:szCs w:val="22"/>
        </w:rPr>
        <w:t>službenih automobila.</w:t>
      </w:r>
    </w:p>
    <w:p w14:paraId="1E3C53AA"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4 - RASHODI ZA NABAVU NEFINANCIJSKE IMOVINE</w:t>
      </w:r>
    </w:p>
    <w:p w14:paraId="0B6253F0"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17</w:t>
      </w:r>
      <w:r w:rsidRPr="00F61B8D">
        <w:rPr>
          <w:rFonts w:ascii="Aptos" w:hAnsi="Aptos" w:cs="Calibri"/>
          <w:b/>
          <w:bCs/>
          <w:color w:val="000000"/>
          <w:sz w:val="22"/>
          <w:szCs w:val="22"/>
        </w:rPr>
        <w:t>.</w:t>
      </w:r>
    </w:p>
    <w:p w14:paraId="563AD3FC" w14:textId="77777777" w:rsidR="0085328F" w:rsidRPr="00F61B8D" w:rsidRDefault="0085328F" w:rsidP="0085328F">
      <w:pPr>
        <w:spacing w:before="60" w:after="60"/>
        <w:ind w:left="-425" w:right="-380" w:firstLine="284"/>
        <w:jc w:val="both"/>
        <w:rPr>
          <w:rFonts w:ascii="Aptos" w:hAnsi="Aptos" w:cstheme="minorHAnsi"/>
          <w:sz w:val="22"/>
          <w:szCs w:val="22"/>
        </w:rPr>
      </w:pPr>
      <w:r w:rsidRPr="003E4A5E">
        <w:rPr>
          <w:rFonts w:ascii="Aptos" w:hAnsi="Aptos" w:cstheme="minorHAnsi"/>
          <w:sz w:val="22"/>
          <w:szCs w:val="22"/>
        </w:rPr>
        <w:t xml:space="preserve">Ukupni rashodi za nabavu nefinancijske imovine iznose </w:t>
      </w:r>
      <w:r>
        <w:rPr>
          <w:rFonts w:ascii="Aptos" w:hAnsi="Aptos" w:cstheme="minorHAnsi"/>
          <w:sz w:val="22"/>
          <w:szCs w:val="22"/>
        </w:rPr>
        <w:t>20,4</w:t>
      </w:r>
      <w:r w:rsidRPr="003E4A5E">
        <w:rPr>
          <w:rFonts w:ascii="Aptos" w:hAnsi="Aptos" w:cstheme="minorHAnsi"/>
          <w:sz w:val="22"/>
          <w:szCs w:val="22"/>
        </w:rPr>
        <w:t xml:space="preserve">% </w:t>
      </w:r>
      <w:r>
        <w:rPr>
          <w:rFonts w:ascii="Aptos" w:hAnsi="Aptos" w:cstheme="minorHAnsi"/>
          <w:sz w:val="22"/>
          <w:szCs w:val="22"/>
        </w:rPr>
        <w:t>manje</w:t>
      </w:r>
      <w:r w:rsidRPr="003E4A5E">
        <w:rPr>
          <w:rFonts w:ascii="Aptos" w:hAnsi="Aptos" w:cstheme="minorHAnsi"/>
          <w:sz w:val="22"/>
          <w:szCs w:val="22"/>
        </w:rPr>
        <w:t xml:space="preserve"> u odnosu na iste ostvarene rashode u 2022. godini </w:t>
      </w:r>
      <w:r>
        <w:rPr>
          <w:rFonts w:ascii="Aptos" w:hAnsi="Aptos" w:cstheme="minorHAnsi"/>
          <w:sz w:val="22"/>
          <w:szCs w:val="22"/>
        </w:rPr>
        <w:t xml:space="preserve">obzirom da su prošle godine realizirane značajne investicije u </w:t>
      </w:r>
      <w:r w:rsidRPr="00F61B8D">
        <w:rPr>
          <w:rFonts w:ascii="Aptos" w:hAnsi="Aptos" w:cstheme="minorHAnsi"/>
          <w:sz w:val="22"/>
          <w:szCs w:val="22"/>
        </w:rPr>
        <w:t>izgradnj</w:t>
      </w:r>
      <w:r>
        <w:rPr>
          <w:rFonts w:ascii="Aptos" w:hAnsi="Aptos" w:cstheme="minorHAnsi"/>
          <w:sz w:val="22"/>
          <w:szCs w:val="22"/>
        </w:rPr>
        <w:t>u</w:t>
      </w:r>
      <w:r w:rsidRPr="00F61B8D">
        <w:rPr>
          <w:rFonts w:ascii="Aptos" w:hAnsi="Aptos" w:cstheme="minorHAnsi"/>
          <w:sz w:val="22"/>
          <w:szCs w:val="22"/>
        </w:rPr>
        <w:t xml:space="preserve"> Etno kuće Marohnić na </w:t>
      </w:r>
      <w:proofErr w:type="spellStart"/>
      <w:r w:rsidRPr="00F61B8D">
        <w:rPr>
          <w:rFonts w:ascii="Aptos" w:hAnsi="Aptos" w:cstheme="minorHAnsi"/>
          <w:sz w:val="22"/>
          <w:szCs w:val="22"/>
        </w:rPr>
        <w:t>Hreljinu</w:t>
      </w:r>
      <w:proofErr w:type="spellEnd"/>
      <w:r>
        <w:rPr>
          <w:rFonts w:ascii="Aptos" w:hAnsi="Aptos" w:cstheme="minorHAnsi"/>
          <w:sz w:val="22"/>
          <w:szCs w:val="22"/>
        </w:rPr>
        <w:t xml:space="preserve">, </w:t>
      </w:r>
      <w:r w:rsidRPr="00F61B8D">
        <w:rPr>
          <w:rFonts w:ascii="Aptos" w:hAnsi="Aptos" w:cstheme="minorHAnsi"/>
          <w:sz w:val="22"/>
          <w:szCs w:val="22"/>
        </w:rPr>
        <w:t>izgradnj</w:t>
      </w:r>
      <w:r>
        <w:rPr>
          <w:rFonts w:ascii="Aptos" w:hAnsi="Aptos" w:cstheme="minorHAnsi"/>
          <w:sz w:val="22"/>
          <w:szCs w:val="22"/>
        </w:rPr>
        <w:t>u</w:t>
      </w:r>
      <w:r w:rsidRPr="00F61B8D">
        <w:rPr>
          <w:rFonts w:ascii="Aptos" w:hAnsi="Aptos" w:cstheme="minorHAnsi"/>
          <w:sz w:val="22"/>
          <w:szCs w:val="22"/>
        </w:rPr>
        <w:t xml:space="preserve"> kanalizacijskog sustava i ostalih vodovodnih ogranaka</w:t>
      </w:r>
      <w:r>
        <w:rPr>
          <w:rFonts w:ascii="Aptos" w:hAnsi="Aptos" w:cstheme="minorHAnsi"/>
          <w:sz w:val="22"/>
          <w:szCs w:val="22"/>
        </w:rPr>
        <w:t xml:space="preserve">, </w:t>
      </w:r>
      <w:r w:rsidRPr="00F61B8D">
        <w:rPr>
          <w:rFonts w:ascii="Aptos" w:hAnsi="Aptos" w:cstheme="minorHAnsi"/>
          <w:sz w:val="22"/>
          <w:szCs w:val="22"/>
        </w:rPr>
        <w:t>izgradnj</w:t>
      </w:r>
      <w:r>
        <w:rPr>
          <w:rFonts w:ascii="Aptos" w:hAnsi="Aptos" w:cstheme="minorHAnsi"/>
          <w:sz w:val="22"/>
          <w:szCs w:val="22"/>
        </w:rPr>
        <w:t>u</w:t>
      </w:r>
      <w:r w:rsidRPr="00F61B8D">
        <w:rPr>
          <w:rFonts w:ascii="Aptos" w:hAnsi="Aptos" w:cstheme="minorHAnsi"/>
          <w:sz w:val="22"/>
          <w:szCs w:val="22"/>
        </w:rPr>
        <w:t xml:space="preserve"> pontonske šetnice </w:t>
      </w:r>
      <w:r>
        <w:rPr>
          <w:rFonts w:ascii="Aptos" w:hAnsi="Aptos" w:cstheme="minorHAnsi"/>
          <w:sz w:val="22"/>
          <w:szCs w:val="22"/>
        </w:rPr>
        <w:t xml:space="preserve">te </w:t>
      </w:r>
      <w:r w:rsidRPr="00F61B8D">
        <w:rPr>
          <w:rFonts w:ascii="Aptos" w:hAnsi="Aptos" w:cstheme="minorHAnsi"/>
          <w:sz w:val="22"/>
          <w:szCs w:val="22"/>
        </w:rPr>
        <w:t>nabav</w:t>
      </w:r>
      <w:r>
        <w:rPr>
          <w:rFonts w:ascii="Aptos" w:hAnsi="Aptos" w:cstheme="minorHAnsi"/>
          <w:sz w:val="22"/>
          <w:szCs w:val="22"/>
        </w:rPr>
        <w:t>u</w:t>
      </w:r>
      <w:r w:rsidRPr="00F61B8D">
        <w:rPr>
          <w:rFonts w:ascii="Aptos" w:hAnsi="Aptos" w:cstheme="minorHAnsi"/>
          <w:sz w:val="22"/>
          <w:szCs w:val="22"/>
        </w:rPr>
        <w:t xml:space="preserve"> ukopanih i </w:t>
      </w:r>
      <w:proofErr w:type="spellStart"/>
      <w:r w:rsidRPr="00F61B8D">
        <w:rPr>
          <w:rFonts w:ascii="Aptos" w:hAnsi="Aptos" w:cstheme="minorHAnsi"/>
          <w:sz w:val="22"/>
          <w:szCs w:val="22"/>
        </w:rPr>
        <w:t>polupodzemnih</w:t>
      </w:r>
      <w:proofErr w:type="spellEnd"/>
      <w:r w:rsidRPr="00F61B8D">
        <w:rPr>
          <w:rFonts w:ascii="Aptos" w:hAnsi="Aptos" w:cstheme="minorHAnsi"/>
          <w:sz w:val="22"/>
          <w:szCs w:val="22"/>
        </w:rPr>
        <w:t xml:space="preserve"> spremnika za odvojeno prikupljanje otpada</w:t>
      </w:r>
      <w:r>
        <w:rPr>
          <w:rFonts w:ascii="Aptos" w:hAnsi="Aptos" w:cstheme="minorHAnsi"/>
          <w:sz w:val="22"/>
          <w:szCs w:val="22"/>
        </w:rPr>
        <w:t>.</w:t>
      </w:r>
    </w:p>
    <w:p w14:paraId="29E3546C"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18</w:t>
      </w:r>
      <w:r w:rsidRPr="00F61B8D">
        <w:rPr>
          <w:rFonts w:ascii="Aptos" w:hAnsi="Aptos" w:cs="Calibri"/>
          <w:b/>
          <w:bCs/>
          <w:color w:val="000000"/>
          <w:sz w:val="22"/>
          <w:szCs w:val="22"/>
        </w:rPr>
        <w:t>.</w:t>
      </w:r>
    </w:p>
    <w:p w14:paraId="112A7FF7" w14:textId="77777777" w:rsidR="0085328F" w:rsidRPr="007E55FE"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w:t>
      </w:r>
      <w:r>
        <w:rPr>
          <w:rFonts w:ascii="Aptos" w:hAnsi="Aptos" w:cstheme="minorHAnsi"/>
          <w:b/>
          <w:sz w:val="22"/>
          <w:szCs w:val="22"/>
        </w:rPr>
        <w:t>41</w:t>
      </w:r>
      <w:r w:rsidRPr="007E55FE">
        <w:rPr>
          <w:rFonts w:ascii="Aptos" w:hAnsi="Aptos" w:cstheme="minorHAnsi"/>
          <w:b/>
          <w:sz w:val="22"/>
          <w:szCs w:val="22"/>
        </w:rPr>
        <w:t xml:space="preserve"> </w:t>
      </w:r>
      <w:r>
        <w:rPr>
          <w:rFonts w:ascii="Aptos" w:hAnsi="Aptos" w:cstheme="minorHAnsi"/>
          <w:b/>
          <w:sz w:val="22"/>
          <w:szCs w:val="22"/>
        </w:rPr>
        <w:t>–</w:t>
      </w:r>
      <w:r w:rsidRPr="007E55FE">
        <w:rPr>
          <w:rFonts w:ascii="Aptos" w:hAnsi="Aptos" w:cstheme="minorHAnsi"/>
          <w:b/>
          <w:sz w:val="22"/>
          <w:szCs w:val="22"/>
        </w:rPr>
        <w:t xml:space="preserve"> </w:t>
      </w:r>
      <w:proofErr w:type="spellStart"/>
      <w:r>
        <w:rPr>
          <w:rFonts w:ascii="Aptos" w:hAnsi="Aptos" w:cstheme="minorHAnsi"/>
          <w:b/>
          <w:sz w:val="22"/>
          <w:szCs w:val="22"/>
        </w:rPr>
        <w:t>Rashodi</w:t>
      </w:r>
      <w:proofErr w:type="spellEnd"/>
      <w:r>
        <w:rPr>
          <w:rFonts w:ascii="Aptos" w:hAnsi="Aptos" w:cstheme="minorHAnsi"/>
          <w:b/>
          <w:sz w:val="22"/>
          <w:szCs w:val="22"/>
        </w:rPr>
        <w:t xml:space="preserve"> za </w:t>
      </w:r>
      <w:proofErr w:type="spellStart"/>
      <w:r>
        <w:rPr>
          <w:rFonts w:ascii="Aptos" w:hAnsi="Aptos" w:cstheme="minorHAnsi"/>
          <w:b/>
          <w:sz w:val="22"/>
          <w:szCs w:val="22"/>
        </w:rPr>
        <w:t>nabavu</w:t>
      </w:r>
      <w:proofErr w:type="spellEnd"/>
      <w:r>
        <w:rPr>
          <w:rFonts w:ascii="Aptos" w:hAnsi="Aptos" w:cstheme="minorHAnsi"/>
          <w:b/>
          <w:sz w:val="22"/>
          <w:szCs w:val="22"/>
        </w:rPr>
        <w:t xml:space="preserve"> </w:t>
      </w:r>
      <w:proofErr w:type="spellStart"/>
      <w:r>
        <w:rPr>
          <w:rFonts w:ascii="Aptos" w:hAnsi="Aptos" w:cstheme="minorHAnsi"/>
          <w:b/>
          <w:sz w:val="22"/>
          <w:szCs w:val="22"/>
        </w:rPr>
        <w:t>neproizvedene</w:t>
      </w:r>
      <w:proofErr w:type="spellEnd"/>
      <w:r>
        <w:rPr>
          <w:rFonts w:ascii="Aptos" w:hAnsi="Aptos" w:cstheme="minorHAnsi"/>
          <w:b/>
          <w:sz w:val="22"/>
          <w:szCs w:val="22"/>
        </w:rPr>
        <w:t xml:space="preserve"> </w:t>
      </w:r>
      <w:proofErr w:type="spellStart"/>
      <w:r>
        <w:rPr>
          <w:rFonts w:ascii="Aptos" w:hAnsi="Aptos" w:cstheme="minorHAnsi"/>
          <w:b/>
          <w:sz w:val="22"/>
          <w:szCs w:val="22"/>
        </w:rPr>
        <w:t>dugotrajne</w:t>
      </w:r>
      <w:proofErr w:type="spellEnd"/>
      <w:r>
        <w:rPr>
          <w:rFonts w:ascii="Aptos" w:hAnsi="Aptos" w:cstheme="minorHAnsi"/>
          <w:b/>
          <w:sz w:val="22"/>
          <w:szCs w:val="22"/>
        </w:rPr>
        <w:t xml:space="preserve"> </w:t>
      </w:r>
      <w:proofErr w:type="spellStart"/>
      <w:r>
        <w:rPr>
          <w:rFonts w:ascii="Aptos" w:hAnsi="Aptos" w:cstheme="minorHAnsi"/>
          <w:b/>
          <w:sz w:val="22"/>
          <w:szCs w:val="22"/>
        </w:rPr>
        <w:t>imovine</w:t>
      </w:r>
      <w:proofErr w:type="spellEnd"/>
    </w:p>
    <w:p w14:paraId="267BDA35" w14:textId="77777777" w:rsidR="0085328F" w:rsidRDefault="0085328F" w:rsidP="0085328F">
      <w:pPr>
        <w:spacing w:before="60" w:after="60"/>
        <w:ind w:left="-425" w:right="-380" w:firstLine="284"/>
        <w:jc w:val="both"/>
        <w:rPr>
          <w:rFonts w:ascii="Aptos" w:hAnsi="Aptos" w:cstheme="minorHAnsi"/>
          <w:sz w:val="22"/>
          <w:szCs w:val="22"/>
        </w:rPr>
      </w:pPr>
      <w:r>
        <w:rPr>
          <w:rFonts w:ascii="Aptos" w:hAnsi="Aptos" w:cstheme="minorHAnsi"/>
          <w:sz w:val="22"/>
          <w:szCs w:val="22"/>
        </w:rPr>
        <w:t>Ovi su rashodi ostvareni u iznosu od 318.463,42 €, što je značajno više nego prošle godine, a odnose se n</w:t>
      </w:r>
      <w:r w:rsidRPr="007C38CE">
        <w:rPr>
          <w:rFonts w:ascii="Aptos" w:hAnsi="Aptos" w:cstheme="minorHAnsi"/>
          <w:sz w:val="22"/>
          <w:szCs w:val="22"/>
        </w:rPr>
        <w:t xml:space="preserve">a otkup i izvlaštenja zemljišta radi izgradnje komunalne </w:t>
      </w:r>
      <w:r>
        <w:rPr>
          <w:rFonts w:ascii="Aptos" w:hAnsi="Aptos" w:cstheme="minorHAnsi"/>
          <w:sz w:val="22"/>
          <w:szCs w:val="22"/>
        </w:rPr>
        <w:t xml:space="preserve">i ostale </w:t>
      </w:r>
      <w:r w:rsidRPr="007C38CE">
        <w:rPr>
          <w:rFonts w:ascii="Aptos" w:hAnsi="Aptos" w:cstheme="minorHAnsi"/>
          <w:sz w:val="22"/>
          <w:szCs w:val="22"/>
        </w:rPr>
        <w:t>infrastrukture</w:t>
      </w:r>
      <w:r>
        <w:rPr>
          <w:rFonts w:ascii="Aptos" w:hAnsi="Aptos" w:cstheme="minorHAnsi"/>
          <w:sz w:val="22"/>
          <w:szCs w:val="22"/>
        </w:rPr>
        <w:t xml:space="preserve">, u najvećem dijelu radi izgradnje prometnice s </w:t>
      </w:r>
      <w:proofErr w:type="spellStart"/>
      <w:r>
        <w:rPr>
          <w:rFonts w:ascii="Aptos" w:hAnsi="Aptos" w:cstheme="minorHAnsi"/>
          <w:sz w:val="22"/>
          <w:szCs w:val="22"/>
        </w:rPr>
        <w:t>infrastruktorom</w:t>
      </w:r>
      <w:proofErr w:type="spellEnd"/>
      <w:r>
        <w:rPr>
          <w:rFonts w:ascii="Aptos" w:hAnsi="Aptos" w:cstheme="minorHAnsi"/>
          <w:sz w:val="22"/>
          <w:szCs w:val="22"/>
        </w:rPr>
        <w:t xml:space="preserve"> na platou A7 u Industrijskoj zoni Kukuljanovo.</w:t>
      </w:r>
    </w:p>
    <w:p w14:paraId="786EF4EC" w14:textId="77777777" w:rsidR="0085328F" w:rsidRPr="00BD7E48"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19</w:t>
      </w:r>
      <w:r w:rsidRPr="00F61B8D">
        <w:rPr>
          <w:rFonts w:ascii="Aptos" w:hAnsi="Aptos" w:cs="Calibri"/>
          <w:b/>
          <w:bCs/>
          <w:color w:val="000000"/>
          <w:sz w:val="22"/>
          <w:szCs w:val="22"/>
        </w:rPr>
        <w:t>.</w:t>
      </w:r>
    </w:p>
    <w:p w14:paraId="53B7017C" w14:textId="77777777" w:rsidR="0085328F" w:rsidRPr="007E55FE"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w:t>
      </w:r>
      <w:r>
        <w:rPr>
          <w:rFonts w:ascii="Aptos" w:hAnsi="Aptos" w:cstheme="minorHAnsi"/>
          <w:b/>
          <w:sz w:val="22"/>
          <w:szCs w:val="22"/>
        </w:rPr>
        <w:t>42</w:t>
      </w:r>
      <w:r w:rsidRPr="007E55FE">
        <w:rPr>
          <w:rFonts w:ascii="Aptos" w:hAnsi="Aptos" w:cstheme="minorHAnsi"/>
          <w:b/>
          <w:sz w:val="22"/>
          <w:szCs w:val="22"/>
        </w:rPr>
        <w:t xml:space="preserve"> </w:t>
      </w:r>
      <w:r>
        <w:rPr>
          <w:rFonts w:ascii="Aptos" w:hAnsi="Aptos" w:cstheme="minorHAnsi"/>
          <w:b/>
          <w:sz w:val="22"/>
          <w:szCs w:val="22"/>
        </w:rPr>
        <w:t>–</w:t>
      </w:r>
      <w:r w:rsidRPr="007E55FE">
        <w:rPr>
          <w:rFonts w:ascii="Aptos" w:hAnsi="Aptos" w:cstheme="minorHAnsi"/>
          <w:b/>
          <w:sz w:val="22"/>
          <w:szCs w:val="22"/>
        </w:rPr>
        <w:t xml:space="preserve"> </w:t>
      </w:r>
      <w:proofErr w:type="spellStart"/>
      <w:r>
        <w:rPr>
          <w:rFonts w:ascii="Aptos" w:hAnsi="Aptos" w:cstheme="minorHAnsi"/>
          <w:b/>
          <w:sz w:val="22"/>
          <w:szCs w:val="22"/>
        </w:rPr>
        <w:t>Rashodi</w:t>
      </w:r>
      <w:proofErr w:type="spellEnd"/>
      <w:r>
        <w:rPr>
          <w:rFonts w:ascii="Aptos" w:hAnsi="Aptos" w:cstheme="minorHAnsi"/>
          <w:b/>
          <w:sz w:val="22"/>
          <w:szCs w:val="22"/>
        </w:rPr>
        <w:t xml:space="preserve"> za </w:t>
      </w:r>
      <w:proofErr w:type="spellStart"/>
      <w:r>
        <w:rPr>
          <w:rFonts w:ascii="Aptos" w:hAnsi="Aptos" w:cstheme="minorHAnsi"/>
          <w:b/>
          <w:sz w:val="22"/>
          <w:szCs w:val="22"/>
        </w:rPr>
        <w:t>nabavu</w:t>
      </w:r>
      <w:proofErr w:type="spellEnd"/>
      <w:r>
        <w:rPr>
          <w:rFonts w:ascii="Aptos" w:hAnsi="Aptos" w:cstheme="minorHAnsi"/>
          <w:b/>
          <w:sz w:val="22"/>
          <w:szCs w:val="22"/>
        </w:rPr>
        <w:t xml:space="preserve"> </w:t>
      </w:r>
      <w:proofErr w:type="spellStart"/>
      <w:r>
        <w:rPr>
          <w:rFonts w:ascii="Aptos" w:hAnsi="Aptos" w:cstheme="minorHAnsi"/>
          <w:b/>
          <w:sz w:val="22"/>
          <w:szCs w:val="22"/>
        </w:rPr>
        <w:t>proizvedene</w:t>
      </w:r>
      <w:proofErr w:type="spellEnd"/>
      <w:r>
        <w:rPr>
          <w:rFonts w:ascii="Aptos" w:hAnsi="Aptos" w:cstheme="minorHAnsi"/>
          <w:b/>
          <w:sz w:val="22"/>
          <w:szCs w:val="22"/>
        </w:rPr>
        <w:t xml:space="preserve"> </w:t>
      </w:r>
      <w:proofErr w:type="spellStart"/>
      <w:r>
        <w:rPr>
          <w:rFonts w:ascii="Aptos" w:hAnsi="Aptos" w:cstheme="minorHAnsi"/>
          <w:b/>
          <w:sz w:val="22"/>
          <w:szCs w:val="22"/>
        </w:rPr>
        <w:t>dugotrajne</w:t>
      </w:r>
      <w:proofErr w:type="spellEnd"/>
      <w:r>
        <w:rPr>
          <w:rFonts w:ascii="Aptos" w:hAnsi="Aptos" w:cstheme="minorHAnsi"/>
          <w:b/>
          <w:sz w:val="22"/>
          <w:szCs w:val="22"/>
        </w:rPr>
        <w:t xml:space="preserve"> </w:t>
      </w:r>
      <w:proofErr w:type="spellStart"/>
      <w:r>
        <w:rPr>
          <w:rFonts w:ascii="Aptos" w:hAnsi="Aptos" w:cstheme="minorHAnsi"/>
          <w:b/>
          <w:sz w:val="22"/>
          <w:szCs w:val="22"/>
        </w:rPr>
        <w:t>imovine</w:t>
      </w:r>
      <w:proofErr w:type="spellEnd"/>
    </w:p>
    <w:p w14:paraId="2EC0E6B6" w14:textId="77777777" w:rsidR="0085328F" w:rsidRDefault="0085328F" w:rsidP="0085328F">
      <w:pPr>
        <w:spacing w:before="60" w:after="60"/>
        <w:ind w:left="-425" w:right="-380" w:firstLine="284"/>
        <w:jc w:val="both"/>
        <w:rPr>
          <w:rFonts w:ascii="Aptos" w:hAnsi="Aptos" w:cstheme="minorHAnsi"/>
          <w:sz w:val="22"/>
          <w:szCs w:val="22"/>
        </w:rPr>
      </w:pPr>
      <w:r>
        <w:rPr>
          <w:rFonts w:ascii="Aptos" w:hAnsi="Aptos" w:cstheme="minorHAnsi"/>
          <w:sz w:val="22"/>
          <w:szCs w:val="22"/>
        </w:rPr>
        <w:t>U odnosu na prošlu godinu ovi su rashodi ostvareni za 21,70% manje i iznose 3.388.413,81 €.</w:t>
      </w:r>
    </w:p>
    <w:p w14:paraId="395FA6D7" w14:textId="77777777" w:rsidR="0085328F" w:rsidRPr="00BD7E48" w:rsidRDefault="0085328F" w:rsidP="0085328F">
      <w:pPr>
        <w:spacing w:before="60" w:after="60"/>
        <w:ind w:left="-425" w:right="-380" w:firstLine="284"/>
        <w:jc w:val="both"/>
        <w:rPr>
          <w:rFonts w:ascii="Aptos" w:hAnsi="Aptos" w:cstheme="minorHAnsi"/>
          <w:sz w:val="22"/>
          <w:szCs w:val="22"/>
        </w:rPr>
      </w:pPr>
      <w:r w:rsidRPr="00BD7E48">
        <w:rPr>
          <w:rFonts w:ascii="Aptos" w:hAnsi="Aptos" w:cstheme="minorHAnsi"/>
          <w:sz w:val="22"/>
          <w:szCs w:val="22"/>
        </w:rPr>
        <w:t xml:space="preserve">Rashodi za ulaganje u građevinske objekte – šifra 421 izvršeni su u iznosu od </w:t>
      </w:r>
      <w:r>
        <w:rPr>
          <w:rFonts w:ascii="Aptos" w:hAnsi="Aptos" w:cstheme="minorHAnsi"/>
          <w:sz w:val="22"/>
          <w:szCs w:val="22"/>
        </w:rPr>
        <w:t>3.018.458,25 €,</w:t>
      </w:r>
      <w:r w:rsidRPr="00BD7E48">
        <w:rPr>
          <w:rFonts w:ascii="Aptos" w:hAnsi="Aptos" w:cstheme="minorHAnsi"/>
          <w:sz w:val="22"/>
          <w:szCs w:val="22"/>
        </w:rPr>
        <w:t xml:space="preserve"> a sastoje se od rashoda za izgradnju i opremanje prometnice za plato A6 i B6.2  na području Industrijske zone Kukuljanovo te prometnice ispred Područne škole </w:t>
      </w:r>
      <w:proofErr w:type="spellStart"/>
      <w:r w:rsidRPr="00BD7E48">
        <w:rPr>
          <w:rFonts w:ascii="Aptos" w:hAnsi="Aptos" w:cstheme="minorHAnsi"/>
          <w:sz w:val="22"/>
          <w:szCs w:val="22"/>
        </w:rPr>
        <w:t>Praputnjak</w:t>
      </w:r>
      <w:proofErr w:type="spellEnd"/>
      <w:r w:rsidRPr="00BD7E48">
        <w:rPr>
          <w:rFonts w:ascii="Aptos" w:hAnsi="Aptos" w:cstheme="minorHAnsi"/>
          <w:sz w:val="22"/>
          <w:szCs w:val="22"/>
        </w:rPr>
        <w:t xml:space="preserve">, rashoda za izgradnju kanalizacijskog sustava i sustava odvodnje Grada Bakra, </w:t>
      </w:r>
      <w:r>
        <w:rPr>
          <w:rFonts w:ascii="Aptos" w:hAnsi="Aptos" w:cstheme="minorHAnsi"/>
          <w:sz w:val="22"/>
          <w:szCs w:val="22"/>
        </w:rPr>
        <w:t xml:space="preserve">ostalih vodovodnih ogranaka, </w:t>
      </w:r>
      <w:r w:rsidRPr="00BD7E48">
        <w:rPr>
          <w:rFonts w:ascii="Aptos" w:hAnsi="Aptos" w:cstheme="minorHAnsi"/>
          <w:sz w:val="22"/>
          <w:szCs w:val="22"/>
        </w:rPr>
        <w:t xml:space="preserve">završnih radova na izgradnji Etno kuće Marohnić, pripremnih radova na izgradnji garaže </w:t>
      </w:r>
      <w:proofErr w:type="spellStart"/>
      <w:r w:rsidRPr="00BD7E48">
        <w:rPr>
          <w:rFonts w:ascii="Aptos" w:hAnsi="Aptos" w:cstheme="minorHAnsi"/>
          <w:sz w:val="22"/>
          <w:szCs w:val="22"/>
        </w:rPr>
        <w:t>Voj</w:t>
      </w:r>
      <w:proofErr w:type="spellEnd"/>
      <w:r>
        <w:rPr>
          <w:rFonts w:ascii="Aptos" w:hAnsi="Aptos" w:cstheme="minorHAnsi"/>
          <w:sz w:val="22"/>
          <w:szCs w:val="22"/>
        </w:rPr>
        <w:t>, radova na proširenju javne rasvjete, autobusnih čekaonica i sl.</w:t>
      </w:r>
    </w:p>
    <w:p w14:paraId="25904DF7" w14:textId="77777777" w:rsidR="0085328F" w:rsidRDefault="0085328F" w:rsidP="0085328F">
      <w:pPr>
        <w:spacing w:before="60" w:after="60"/>
        <w:ind w:left="-425" w:right="-380" w:firstLine="284"/>
        <w:jc w:val="both"/>
        <w:rPr>
          <w:rFonts w:ascii="Aptos" w:hAnsi="Aptos" w:cstheme="minorHAnsi"/>
          <w:sz w:val="22"/>
          <w:szCs w:val="22"/>
        </w:rPr>
      </w:pPr>
      <w:r w:rsidRPr="00D602DE">
        <w:rPr>
          <w:rFonts w:ascii="Aptos" w:hAnsi="Aptos" w:cstheme="minorHAnsi"/>
          <w:sz w:val="22"/>
          <w:szCs w:val="22"/>
        </w:rPr>
        <w:t xml:space="preserve">Rashodi za postrojenja i opremu – šifra 422 koji su ostvareni u iznosu od 183.649,93 € obuhvaćaju </w:t>
      </w:r>
      <w:r>
        <w:rPr>
          <w:rFonts w:ascii="Aptos" w:hAnsi="Aptos" w:cstheme="minorHAnsi"/>
          <w:sz w:val="22"/>
          <w:szCs w:val="22"/>
        </w:rPr>
        <w:t xml:space="preserve">uredsku opremu i namještaj, </w:t>
      </w:r>
      <w:r w:rsidRPr="00D602DE">
        <w:rPr>
          <w:rFonts w:ascii="Aptos" w:hAnsi="Aptos" w:cstheme="minorHAnsi"/>
          <w:sz w:val="22"/>
          <w:szCs w:val="22"/>
        </w:rPr>
        <w:t>računalnu opremu, opremu za održavanje i zaštitu te uređenje i opremanje igrališta</w:t>
      </w:r>
      <w:r>
        <w:rPr>
          <w:rFonts w:ascii="Aptos" w:hAnsi="Aptos" w:cstheme="minorHAnsi"/>
          <w:sz w:val="22"/>
          <w:szCs w:val="22"/>
        </w:rPr>
        <w:t xml:space="preserve">. U odnosu na prošlogodišnje izvještajno razdoblje rashodi za nabavu opreme za održavanje i zaštitu veći su radi nabave opreme za potrebe civilne zaštite, dok su rashodi za nabavu sportske opreme veći radi opremanja dječjeg igrališta </w:t>
      </w:r>
      <w:proofErr w:type="spellStart"/>
      <w:r>
        <w:rPr>
          <w:rFonts w:ascii="Aptos" w:hAnsi="Aptos" w:cstheme="minorHAnsi"/>
          <w:sz w:val="22"/>
          <w:szCs w:val="22"/>
        </w:rPr>
        <w:t>Krasica</w:t>
      </w:r>
      <w:proofErr w:type="spellEnd"/>
      <w:r>
        <w:rPr>
          <w:rFonts w:ascii="Aptos" w:hAnsi="Aptos" w:cstheme="minorHAnsi"/>
          <w:sz w:val="22"/>
          <w:szCs w:val="22"/>
        </w:rPr>
        <w:t>. Radi n</w:t>
      </w:r>
      <w:r w:rsidRPr="00EC3DAE">
        <w:rPr>
          <w:rFonts w:ascii="Aptos" w:hAnsi="Aptos" w:cstheme="minorHAnsi"/>
          <w:sz w:val="22"/>
          <w:szCs w:val="22"/>
        </w:rPr>
        <w:t>abav</w:t>
      </w:r>
      <w:r>
        <w:rPr>
          <w:rFonts w:ascii="Aptos" w:hAnsi="Aptos" w:cstheme="minorHAnsi"/>
          <w:sz w:val="22"/>
          <w:szCs w:val="22"/>
        </w:rPr>
        <w:t>e</w:t>
      </w:r>
      <w:r w:rsidRPr="00EC3DAE">
        <w:rPr>
          <w:rFonts w:ascii="Aptos" w:hAnsi="Aptos" w:cstheme="minorHAnsi"/>
          <w:sz w:val="22"/>
          <w:szCs w:val="22"/>
        </w:rPr>
        <w:t xml:space="preserve"> spremnika za odvojeno prikupljanje otpada</w:t>
      </w:r>
      <w:r>
        <w:rPr>
          <w:rFonts w:ascii="Aptos" w:hAnsi="Aptos" w:cstheme="minorHAnsi"/>
          <w:sz w:val="22"/>
          <w:szCs w:val="22"/>
        </w:rPr>
        <w:t xml:space="preserve"> u 2022. godini, iznos rashoda za uređaje, strojeve i opremu za ostale namjene u ovoj je godini manji za 29,40%.</w:t>
      </w:r>
    </w:p>
    <w:p w14:paraId="2C0BB7A0"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 ovom izvještajnom razdoblju realizirani su rashodi za nabavu dva nova službena vozila</w:t>
      </w:r>
      <w:r>
        <w:rPr>
          <w:rFonts w:ascii="Aptos" w:hAnsi="Aptos" w:cstheme="minorHAnsi"/>
          <w:sz w:val="22"/>
          <w:szCs w:val="22"/>
        </w:rPr>
        <w:t xml:space="preserve"> – šifra 423</w:t>
      </w:r>
      <w:r w:rsidRPr="00F61B8D">
        <w:rPr>
          <w:rFonts w:ascii="Aptos" w:hAnsi="Aptos" w:cstheme="minorHAnsi"/>
          <w:sz w:val="22"/>
          <w:szCs w:val="22"/>
        </w:rPr>
        <w:t xml:space="preserve"> u iznosu od 48.955,47</w:t>
      </w:r>
      <w:r>
        <w:rPr>
          <w:rFonts w:ascii="Aptos" w:hAnsi="Aptos" w:cstheme="minorHAnsi"/>
          <w:sz w:val="22"/>
          <w:szCs w:val="22"/>
        </w:rPr>
        <w:t xml:space="preserve"> </w:t>
      </w:r>
      <w:r w:rsidRPr="00F61B8D">
        <w:rPr>
          <w:rFonts w:ascii="Aptos" w:hAnsi="Aptos" w:cstheme="minorHAnsi"/>
          <w:sz w:val="22"/>
          <w:szCs w:val="22"/>
        </w:rPr>
        <w:t>€ koja su nabavljena radi starosti i potrošenosti postojećih vozila koja su u izvještajnom razdoblju prodana.</w:t>
      </w:r>
    </w:p>
    <w:p w14:paraId="5890461F"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lastRenderedPageBreak/>
        <w:t>Rashodi za ulaganja u nematerijalnu imovinu</w:t>
      </w:r>
      <w:r>
        <w:rPr>
          <w:rFonts w:ascii="Aptos" w:hAnsi="Aptos" w:cstheme="minorHAnsi"/>
          <w:sz w:val="22"/>
          <w:szCs w:val="22"/>
        </w:rPr>
        <w:t xml:space="preserve"> – šifra 426</w:t>
      </w:r>
      <w:r w:rsidRPr="00F61B8D">
        <w:rPr>
          <w:rFonts w:ascii="Aptos" w:hAnsi="Aptos" w:cstheme="minorHAnsi"/>
          <w:sz w:val="22"/>
          <w:szCs w:val="22"/>
        </w:rPr>
        <w:t xml:space="preserve"> u iznosu od </w:t>
      </w:r>
      <w:r>
        <w:rPr>
          <w:rFonts w:ascii="Aptos" w:hAnsi="Aptos" w:cstheme="minorHAnsi"/>
          <w:sz w:val="22"/>
          <w:szCs w:val="22"/>
        </w:rPr>
        <w:t>137.350,16 €</w:t>
      </w:r>
      <w:r w:rsidRPr="00F61B8D">
        <w:rPr>
          <w:rFonts w:ascii="Aptos" w:hAnsi="Aptos" w:cstheme="minorHAnsi"/>
          <w:sz w:val="22"/>
          <w:szCs w:val="22"/>
        </w:rPr>
        <w:t xml:space="preserve"> odnose se na ulaganje u računalne programe, projektnu dokumentaciju,  prostorne planove, GIS karte i elaborate zaštite okoliša.</w:t>
      </w:r>
      <w:r>
        <w:rPr>
          <w:rFonts w:ascii="Aptos" w:hAnsi="Aptos" w:cstheme="minorHAnsi"/>
          <w:sz w:val="22"/>
          <w:szCs w:val="22"/>
        </w:rPr>
        <w:t xml:space="preserve"> U ovom su razdoblju realizirani rashodi za nabavu umjetničkih. </w:t>
      </w:r>
      <w:proofErr w:type="spellStart"/>
      <w:r>
        <w:rPr>
          <w:rFonts w:ascii="Aptos" w:hAnsi="Aptos" w:cstheme="minorHAnsi"/>
          <w:sz w:val="22"/>
          <w:szCs w:val="22"/>
        </w:rPr>
        <w:t>literalnih</w:t>
      </w:r>
      <w:proofErr w:type="spellEnd"/>
      <w:r>
        <w:rPr>
          <w:rFonts w:ascii="Aptos" w:hAnsi="Aptos" w:cstheme="minorHAnsi"/>
          <w:sz w:val="22"/>
          <w:szCs w:val="22"/>
        </w:rPr>
        <w:t xml:space="preserve"> i znanstvenih djela – šifra 4263 u iznosu od 41.250,00 €, a odnose se na </w:t>
      </w:r>
      <w:r w:rsidRPr="008E5648">
        <w:rPr>
          <w:rFonts w:ascii="Aptos" w:hAnsi="Aptos" w:cstheme="minorHAnsi"/>
          <w:sz w:val="22"/>
          <w:szCs w:val="22"/>
        </w:rPr>
        <w:t>multimedijaln</w:t>
      </w:r>
      <w:r>
        <w:rPr>
          <w:rFonts w:ascii="Aptos" w:hAnsi="Aptos" w:cstheme="minorHAnsi"/>
          <w:sz w:val="22"/>
          <w:szCs w:val="22"/>
        </w:rPr>
        <w:t>u</w:t>
      </w:r>
      <w:r w:rsidRPr="008E5648">
        <w:rPr>
          <w:rFonts w:ascii="Aptos" w:hAnsi="Aptos" w:cstheme="minorHAnsi"/>
          <w:sz w:val="22"/>
          <w:szCs w:val="22"/>
        </w:rPr>
        <w:t xml:space="preserve"> produkcij</w:t>
      </w:r>
      <w:r>
        <w:rPr>
          <w:rFonts w:ascii="Aptos" w:hAnsi="Aptos" w:cstheme="minorHAnsi"/>
          <w:sz w:val="22"/>
          <w:szCs w:val="22"/>
        </w:rPr>
        <w:t xml:space="preserve">u u okviru kapitalnog projekta uređenja interpretacijskog centra </w:t>
      </w:r>
      <w:proofErr w:type="spellStart"/>
      <w:r>
        <w:rPr>
          <w:rFonts w:ascii="Aptos" w:hAnsi="Aptos" w:cstheme="minorHAnsi"/>
          <w:sz w:val="22"/>
          <w:szCs w:val="22"/>
        </w:rPr>
        <w:t>ribarstvene</w:t>
      </w:r>
      <w:proofErr w:type="spellEnd"/>
      <w:r>
        <w:rPr>
          <w:rFonts w:ascii="Aptos" w:hAnsi="Aptos" w:cstheme="minorHAnsi"/>
          <w:sz w:val="22"/>
          <w:szCs w:val="22"/>
        </w:rPr>
        <w:t xml:space="preserve"> i pomorske baštine „O RIBI“.</w:t>
      </w:r>
    </w:p>
    <w:p w14:paraId="31DEFAAA" w14:textId="77777777" w:rsidR="0085328F" w:rsidRPr="00BD7E48"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20</w:t>
      </w:r>
      <w:r w:rsidRPr="00F61B8D">
        <w:rPr>
          <w:rFonts w:ascii="Aptos" w:hAnsi="Aptos" w:cs="Calibri"/>
          <w:b/>
          <w:bCs/>
          <w:color w:val="000000"/>
          <w:sz w:val="22"/>
          <w:szCs w:val="22"/>
        </w:rPr>
        <w:t>.</w:t>
      </w:r>
    </w:p>
    <w:p w14:paraId="524318B5" w14:textId="77777777" w:rsidR="0085328F" w:rsidRPr="008E5648"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w:t>
      </w:r>
      <w:r>
        <w:rPr>
          <w:rFonts w:ascii="Aptos" w:hAnsi="Aptos" w:cstheme="minorHAnsi"/>
          <w:b/>
          <w:sz w:val="22"/>
          <w:szCs w:val="22"/>
        </w:rPr>
        <w:t>43</w:t>
      </w:r>
      <w:r w:rsidRPr="007E55FE">
        <w:rPr>
          <w:rFonts w:ascii="Aptos" w:hAnsi="Aptos" w:cstheme="minorHAnsi"/>
          <w:b/>
          <w:sz w:val="22"/>
          <w:szCs w:val="22"/>
        </w:rPr>
        <w:t xml:space="preserve"> </w:t>
      </w:r>
      <w:r>
        <w:rPr>
          <w:rFonts w:ascii="Aptos" w:hAnsi="Aptos" w:cstheme="minorHAnsi"/>
          <w:b/>
          <w:sz w:val="22"/>
          <w:szCs w:val="22"/>
        </w:rPr>
        <w:t>–</w:t>
      </w:r>
      <w:r w:rsidRPr="007E55FE">
        <w:rPr>
          <w:rFonts w:ascii="Aptos" w:hAnsi="Aptos" w:cstheme="minorHAnsi"/>
          <w:b/>
          <w:sz w:val="22"/>
          <w:szCs w:val="22"/>
        </w:rPr>
        <w:t xml:space="preserve"> </w:t>
      </w:r>
      <w:proofErr w:type="spellStart"/>
      <w:r>
        <w:rPr>
          <w:rFonts w:ascii="Aptos" w:hAnsi="Aptos" w:cstheme="minorHAnsi"/>
          <w:b/>
          <w:sz w:val="22"/>
          <w:szCs w:val="22"/>
        </w:rPr>
        <w:t>Rashodi</w:t>
      </w:r>
      <w:proofErr w:type="spellEnd"/>
      <w:r>
        <w:rPr>
          <w:rFonts w:ascii="Aptos" w:hAnsi="Aptos" w:cstheme="minorHAnsi"/>
          <w:b/>
          <w:sz w:val="22"/>
          <w:szCs w:val="22"/>
        </w:rPr>
        <w:t xml:space="preserve"> za </w:t>
      </w:r>
      <w:proofErr w:type="spellStart"/>
      <w:r>
        <w:rPr>
          <w:rFonts w:ascii="Aptos" w:hAnsi="Aptos" w:cstheme="minorHAnsi"/>
          <w:b/>
          <w:sz w:val="22"/>
          <w:szCs w:val="22"/>
        </w:rPr>
        <w:t>nabavu</w:t>
      </w:r>
      <w:proofErr w:type="spellEnd"/>
      <w:r>
        <w:rPr>
          <w:rFonts w:ascii="Aptos" w:hAnsi="Aptos" w:cstheme="minorHAnsi"/>
          <w:b/>
          <w:sz w:val="22"/>
          <w:szCs w:val="22"/>
        </w:rPr>
        <w:t xml:space="preserve"> </w:t>
      </w:r>
      <w:proofErr w:type="spellStart"/>
      <w:r>
        <w:rPr>
          <w:rFonts w:ascii="Aptos" w:hAnsi="Aptos" w:cstheme="minorHAnsi"/>
          <w:b/>
          <w:sz w:val="22"/>
          <w:szCs w:val="22"/>
        </w:rPr>
        <w:t>plemenitih</w:t>
      </w:r>
      <w:proofErr w:type="spellEnd"/>
      <w:r>
        <w:rPr>
          <w:rFonts w:ascii="Aptos" w:hAnsi="Aptos" w:cstheme="minorHAnsi"/>
          <w:b/>
          <w:sz w:val="22"/>
          <w:szCs w:val="22"/>
        </w:rPr>
        <w:t xml:space="preserve"> </w:t>
      </w:r>
      <w:proofErr w:type="spellStart"/>
      <w:r>
        <w:rPr>
          <w:rFonts w:ascii="Aptos" w:hAnsi="Aptos" w:cstheme="minorHAnsi"/>
          <w:b/>
          <w:sz w:val="22"/>
          <w:szCs w:val="22"/>
        </w:rPr>
        <w:t>metala</w:t>
      </w:r>
      <w:proofErr w:type="spellEnd"/>
      <w:r>
        <w:rPr>
          <w:rFonts w:ascii="Aptos" w:hAnsi="Aptos" w:cstheme="minorHAnsi"/>
          <w:b/>
          <w:sz w:val="22"/>
          <w:szCs w:val="22"/>
        </w:rPr>
        <w:t xml:space="preserve"> </w:t>
      </w:r>
      <w:proofErr w:type="spellStart"/>
      <w:r>
        <w:rPr>
          <w:rFonts w:ascii="Aptos" w:hAnsi="Aptos" w:cstheme="minorHAnsi"/>
          <w:b/>
          <w:sz w:val="22"/>
          <w:szCs w:val="22"/>
        </w:rPr>
        <w:t>i</w:t>
      </w:r>
      <w:proofErr w:type="spellEnd"/>
      <w:r>
        <w:rPr>
          <w:rFonts w:ascii="Aptos" w:hAnsi="Aptos" w:cstheme="minorHAnsi"/>
          <w:b/>
          <w:sz w:val="22"/>
          <w:szCs w:val="22"/>
        </w:rPr>
        <w:t xml:space="preserve"> </w:t>
      </w:r>
      <w:proofErr w:type="spellStart"/>
      <w:r>
        <w:rPr>
          <w:rFonts w:ascii="Aptos" w:hAnsi="Aptos" w:cstheme="minorHAnsi"/>
          <w:b/>
          <w:sz w:val="22"/>
          <w:szCs w:val="22"/>
        </w:rPr>
        <w:t>ostalih</w:t>
      </w:r>
      <w:proofErr w:type="spellEnd"/>
      <w:r>
        <w:rPr>
          <w:rFonts w:ascii="Aptos" w:hAnsi="Aptos" w:cstheme="minorHAnsi"/>
          <w:b/>
          <w:sz w:val="22"/>
          <w:szCs w:val="22"/>
        </w:rPr>
        <w:t xml:space="preserve"> </w:t>
      </w:r>
      <w:proofErr w:type="spellStart"/>
      <w:r>
        <w:rPr>
          <w:rFonts w:ascii="Aptos" w:hAnsi="Aptos" w:cstheme="minorHAnsi"/>
          <w:b/>
          <w:sz w:val="22"/>
          <w:szCs w:val="22"/>
        </w:rPr>
        <w:t>pohranjenih</w:t>
      </w:r>
      <w:proofErr w:type="spellEnd"/>
      <w:r>
        <w:rPr>
          <w:rFonts w:ascii="Aptos" w:hAnsi="Aptos" w:cstheme="minorHAnsi"/>
          <w:b/>
          <w:sz w:val="22"/>
          <w:szCs w:val="22"/>
        </w:rPr>
        <w:t xml:space="preserve"> </w:t>
      </w:r>
      <w:proofErr w:type="spellStart"/>
      <w:r>
        <w:rPr>
          <w:rFonts w:ascii="Aptos" w:hAnsi="Aptos" w:cstheme="minorHAnsi"/>
          <w:b/>
          <w:sz w:val="22"/>
          <w:szCs w:val="22"/>
        </w:rPr>
        <w:t>vrijednosti</w:t>
      </w:r>
      <w:proofErr w:type="spellEnd"/>
    </w:p>
    <w:p w14:paraId="7317C67F"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Ostvareni rashodi za nabavu pohranjenih knjiga, umjetničkih djela i sličnih vrijednosti u iznosu od 12.939,13</w:t>
      </w:r>
      <w:r>
        <w:rPr>
          <w:rFonts w:ascii="Aptos" w:hAnsi="Aptos" w:cstheme="minorHAnsi"/>
          <w:sz w:val="22"/>
          <w:szCs w:val="22"/>
        </w:rPr>
        <w:t xml:space="preserve"> </w:t>
      </w:r>
      <w:r w:rsidRPr="00F61B8D">
        <w:rPr>
          <w:rFonts w:ascii="Aptos" w:hAnsi="Aptos" w:cstheme="minorHAnsi"/>
          <w:sz w:val="22"/>
          <w:szCs w:val="22"/>
        </w:rPr>
        <w:t>€ odnose se na izradu i postavu biste u čast Josipu </w:t>
      </w:r>
      <w:proofErr w:type="spellStart"/>
      <w:r w:rsidRPr="00F61B8D">
        <w:rPr>
          <w:rFonts w:ascii="Aptos" w:hAnsi="Aptos" w:cstheme="minorHAnsi"/>
          <w:sz w:val="22"/>
          <w:szCs w:val="22"/>
        </w:rPr>
        <w:t>Marohniću</w:t>
      </w:r>
      <w:proofErr w:type="spellEnd"/>
      <w:r w:rsidRPr="00F61B8D">
        <w:rPr>
          <w:rFonts w:ascii="Aptos" w:hAnsi="Aptos" w:cstheme="minorHAnsi"/>
          <w:sz w:val="22"/>
          <w:szCs w:val="22"/>
        </w:rPr>
        <w:t>, jednom od najpoznatijih iseljenika naših krajeva, predsjedniku Hrvatske bratske zajednice u Americi od 1912. do 1921. godine.</w:t>
      </w:r>
    </w:p>
    <w:p w14:paraId="7226E1CE" w14:textId="77777777" w:rsidR="0085328F" w:rsidRPr="00BD7E48"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21</w:t>
      </w:r>
      <w:r w:rsidRPr="00F61B8D">
        <w:rPr>
          <w:rFonts w:ascii="Aptos" w:hAnsi="Aptos" w:cs="Calibri"/>
          <w:b/>
          <w:bCs/>
          <w:color w:val="000000"/>
          <w:sz w:val="22"/>
          <w:szCs w:val="22"/>
        </w:rPr>
        <w:t>.</w:t>
      </w:r>
    </w:p>
    <w:p w14:paraId="58B19CC9" w14:textId="77777777" w:rsidR="0085328F" w:rsidRPr="008E5648" w:rsidRDefault="0085328F" w:rsidP="0085328F">
      <w:pPr>
        <w:pStyle w:val="Tijeloteksta-uvlaka3"/>
        <w:spacing w:before="60" w:after="60"/>
        <w:ind w:left="-426" w:firstLine="0"/>
        <w:rPr>
          <w:rFonts w:ascii="Aptos" w:hAnsi="Aptos" w:cstheme="minorHAnsi"/>
          <w:b/>
          <w:sz w:val="22"/>
          <w:szCs w:val="22"/>
        </w:rPr>
      </w:pPr>
      <w:r w:rsidRPr="007E55FE">
        <w:rPr>
          <w:rFonts w:ascii="Aptos" w:hAnsi="Aptos" w:cstheme="minorHAnsi"/>
          <w:b/>
          <w:sz w:val="22"/>
          <w:szCs w:val="22"/>
        </w:rPr>
        <w:t xml:space="preserve">ŠIFRA </w:t>
      </w:r>
      <w:r>
        <w:rPr>
          <w:rFonts w:ascii="Aptos" w:hAnsi="Aptos" w:cstheme="minorHAnsi"/>
          <w:b/>
          <w:sz w:val="22"/>
          <w:szCs w:val="22"/>
        </w:rPr>
        <w:t>45</w:t>
      </w:r>
      <w:r w:rsidRPr="007E55FE">
        <w:rPr>
          <w:rFonts w:ascii="Aptos" w:hAnsi="Aptos" w:cstheme="minorHAnsi"/>
          <w:b/>
          <w:sz w:val="22"/>
          <w:szCs w:val="22"/>
        </w:rPr>
        <w:t xml:space="preserve"> </w:t>
      </w:r>
      <w:r>
        <w:rPr>
          <w:rFonts w:ascii="Aptos" w:hAnsi="Aptos" w:cstheme="minorHAnsi"/>
          <w:b/>
          <w:sz w:val="22"/>
          <w:szCs w:val="22"/>
        </w:rPr>
        <w:t>–</w:t>
      </w:r>
      <w:r w:rsidRPr="007E55FE">
        <w:rPr>
          <w:rFonts w:ascii="Aptos" w:hAnsi="Aptos" w:cstheme="minorHAnsi"/>
          <w:b/>
          <w:sz w:val="22"/>
          <w:szCs w:val="22"/>
        </w:rPr>
        <w:t xml:space="preserve"> </w:t>
      </w:r>
      <w:proofErr w:type="spellStart"/>
      <w:r>
        <w:rPr>
          <w:rFonts w:ascii="Aptos" w:hAnsi="Aptos" w:cstheme="minorHAnsi"/>
          <w:b/>
          <w:sz w:val="22"/>
          <w:szCs w:val="22"/>
        </w:rPr>
        <w:t>Rashodi</w:t>
      </w:r>
      <w:proofErr w:type="spellEnd"/>
      <w:r>
        <w:rPr>
          <w:rFonts w:ascii="Aptos" w:hAnsi="Aptos" w:cstheme="minorHAnsi"/>
          <w:b/>
          <w:sz w:val="22"/>
          <w:szCs w:val="22"/>
        </w:rPr>
        <w:t xml:space="preserve"> za </w:t>
      </w:r>
      <w:proofErr w:type="spellStart"/>
      <w:r>
        <w:rPr>
          <w:rFonts w:ascii="Aptos" w:hAnsi="Aptos" w:cstheme="minorHAnsi"/>
          <w:b/>
          <w:sz w:val="22"/>
          <w:szCs w:val="22"/>
        </w:rPr>
        <w:t>dodatna</w:t>
      </w:r>
      <w:proofErr w:type="spellEnd"/>
      <w:r>
        <w:rPr>
          <w:rFonts w:ascii="Aptos" w:hAnsi="Aptos" w:cstheme="minorHAnsi"/>
          <w:b/>
          <w:sz w:val="22"/>
          <w:szCs w:val="22"/>
        </w:rPr>
        <w:t xml:space="preserve"> </w:t>
      </w:r>
      <w:proofErr w:type="spellStart"/>
      <w:r>
        <w:rPr>
          <w:rFonts w:ascii="Aptos" w:hAnsi="Aptos" w:cstheme="minorHAnsi"/>
          <w:b/>
          <w:sz w:val="22"/>
          <w:szCs w:val="22"/>
        </w:rPr>
        <w:t>ulaganja</w:t>
      </w:r>
      <w:proofErr w:type="spellEnd"/>
      <w:r>
        <w:rPr>
          <w:rFonts w:ascii="Aptos" w:hAnsi="Aptos" w:cstheme="minorHAnsi"/>
          <w:b/>
          <w:sz w:val="22"/>
          <w:szCs w:val="22"/>
        </w:rPr>
        <w:t xml:space="preserve"> </w:t>
      </w:r>
      <w:proofErr w:type="spellStart"/>
      <w:r>
        <w:rPr>
          <w:rFonts w:ascii="Aptos" w:hAnsi="Aptos" w:cstheme="minorHAnsi"/>
          <w:b/>
          <w:sz w:val="22"/>
          <w:szCs w:val="22"/>
        </w:rPr>
        <w:t>na</w:t>
      </w:r>
      <w:proofErr w:type="spellEnd"/>
      <w:r>
        <w:rPr>
          <w:rFonts w:ascii="Aptos" w:hAnsi="Aptos" w:cstheme="minorHAnsi"/>
          <w:b/>
          <w:sz w:val="22"/>
          <w:szCs w:val="22"/>
        </w:rPr>
        <w:t xml:space="preserve"> </w:t>
      </w:r>
      <w:proofErr w:type="spellStart"/>
      <w:r>
        <w:rPr>
          <w:rFonts w:ascii="Aptos" w:hAnsi="Aptos" w:cstheme="minorHAnsi"/>
          <w:b/>
          <w:sz w:val="22"/>
          <w:szCs w:val="22"/>
        </w:rPr>
        <w:t>nefinancijskoj</w:t>
      </w:r>
      <w:proofErr w:type="spellEnd"/>
      <w:r>
        <w:rPr>
          <w:rFonts w:ascii="Aptos" w:hAnsi="Aptos" w:cstheme="minorHAnsi"/>
          <w:b/>
          <w:sz w:val="22"/>
          <w:szCs w:val="22"/>
        </w:rPr>
        <w:t xml:space="preserve"> </w:t>
      </w:r>
      <w:proofErr w:type="spellStart"/>
      <w:r>
        <w:rPr>
          <w:rFonts w:ascii="Aptos" w:hAnsi="Aptos" w:cstheme="minorHAnsi"/>
          <w:b/>
          <w:sz w:val="22"/>
          <w:szCs w:val="22"/>
        </w:rPr>
        <w:t>imovini</w:t>
      </w:r>
      <w:proofErr w:type="spellEnd"/>
    </w:p>
    <w:p w14:paraId="30D8BC16" w14:textId="77777777" w:rsidR="0085328F"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Rashodi za dodatna ulaganja u iznosu od </w:t>
      </w:r>
      <w:r>
        <w:rPr>
          <w:rFonts w:ascii="Aptos" w:hAnsi="Aptos" w:cstheme="minorHAnsi"/>
          <w:sz w:val="22"/>
          <w:szCs w:val="22"/>
        </w:rPr>
        <w:t>527.638,48 €</w:t>
      </w:r>
      <w:r w:rsidRPr="00F61B8D">
        <w:rPr>
          <w:rFonts w:ascii="Aptos" w:hAnsi="Aptos" w:cstheme="minorHAnsi"/>
          <w:sz w:val="22"/>
          <w:szCs w:val="22"/>
        </w:rPr>
        <w:t xml:space="preserve"> obuhvaćaju održavanje poslovnih prostora i domova kulture, groblja, Kaštela u Bakru, kao i održavanje sportskih terena i objekata.</w:t>
      </w:r>
    </w:p>
    <w:p w14:paraId="05B47582"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 odnosu na prošlogodišnje razdoblje ovi su rashodi </w:t>
      </w:r>
      <w:r>
        <w:rPr>
          <w:rFonts w:ascii="Aptos" w:hAnsi="Aptos" w:cstheme="minorHAnsi"/>
          <w:sz w:val="22"/>
          <w:szCs w:val="22"/>
        </w:rPr>
        <w:t xml:space="preserve">manji obzirom da su prošle godine veća sredstva utrošena </w:t>
      </w:r>
      <w:r w:rsidRPr="00F61B8D">
        <w:rPr>
          <w:rFonts w:ascii="Aptos" w:hAnsi="Aptos" w:cstheme="minorHAnsi"/>
          <w:sz w:val="22"/>
          <w:szCs w:val="22"/>
        </w:rPr>
        <w:t xml:space="preserve">u sanaciju Doma kulture </w:t>
      </w:r>
      <w:proofErr w:type="spellStart"/>
      <w:r w:rsidRPr="00F61B8D">
        <w:rPr>
          <w:rFonts w:ascii="Aptos" w:hAnsi="Aptos" w:cstheme="minorHAnsi"/>
          <w:sz w:val="22"/>
          <w:szCs w:val="22"/>
        </w:rPr>
        <w:t>Krasica</w:t>
      </w:r>
      <w:proofErr w:type="spellEnd"/>
      <w:r w:rsidRPr="00F61B8D">
        <w:rPr>
          <w:rFonts w:ascii="Aptos" w:hAnsi="Aptos" w:cstheme="minorHAnsi"/>
          <w:sz w:val="22"/>
          <w:szCs w:val="22"/>
        </w:rPr>
        <w:t xml:space="preserve"> i radova na rekonstrukciji i dogradnji objekta NK Borac Bakar.</w:t>
      </w:r>
      <w:r>
        <w:rPr>
          <w:rFonts w:ascii="Aptos" w:hAnsi="Aptos" w:cstheme="minorHAnsi"/>
          <w:sz w:val="22"/>
          <w:szCs w:val="22"/>
        </w:rPr>
        <w:t xml:space="preserve"> Isto tako, u 2022. godini realizirana su dodatna ulaganja za ostalu nefinancijsku imovinu – šifra 454 koja se odnose na r</w:t>
      </w:r>
      <w:r w:rsidRPr="008E5648">
        <w:rPr>
          <w:rFonts w:ascii="Aptos" w:hAnsi="Aptos" w:cstheme="minorHAnsi"/>
          <w:sz w:val="22"/>
          <w:szCs w:val="22"/>
        </w:rPr>
        <w:t>estauratorsk</w:t>
      </w:r>
      <w:r>
        <w:rPr>
          <w:rFonts w:ascii="Aptos" w:hAnsi="Aptos" w:cstheme="minorHAnsi"/>
          <w:sz w:val="22"/>
          <w:szCs w:val="22"/>
        </w:rPr>
        <w:t>e</w:t>
      </w:r>
      <w:r w:rsidRPr="008E5648">
        <w:rPr>
          <w:rFonts w:ascii="Aptos" w:hAnsi="Aptos" w:cstheme="minorHAnsi"/>
          <w:sz w:val="22"/>
          <w:szCs w:val="22"/>
        </w:rPr>
        <w:t xml:space="preserve"> radov</w:t>
      </w:r>
      <w:r>
        <w:rPr>
          <w:rFonts w:ascii="Aptos" w:hAnsi="Aptos" w:cstheme="minorHAnsi"/>
          <w:sz w:val="22"/>
          <w:szCs w:val="22"/>
        </w:rPr>
        <w:t>e</w:t>
      </w:r>
      <w:r w:rsidRPr="008E5648">
        <w:rPr>
          <w:rFonts w:ascii="Aptos" w:hAnsi="Aptos" w:cstheme="minorHAnsi"/>
          <w:sz w:val="22"/>
          <w:szCs w:val="22"/>
        </w:rPr>
        <w:t xml:space="preserve"> u </w:t>
      </w:r>
      <w:r>
        <w:rPr>
          <w:rFonts w:ascii="Aptos" w:hAnsi="Aptos" w:cstheme="minorHAnsi"/>
          <w:sz w:val="22"/>
          <w:szCs w:val="22"/>
        </w:rPr>
        <w:t>K</w:t>
      </w:r>
      <w:r w:rsidRPr="008E5648">
        <w:rPr>
          <w:rFonts w:ascii="Aptos" w:hAnsi="Aptos" w:cstheme="minorHAnsi"/>
          <w:sz w:val="22"/>
          <w:szCs w:val="22"/>
        </w:rPr>
        <w:t>aštel</w:t>
      </w:r>
      <w:r>
        <w:rPr>
          <w:rFonts w:ascii="Aptos" w:hAnsi="Aptos" w:cstheme="minorHAnsi"/>
          <w:sz w:val="22"/>
          <w:szCs w:val="22"/>
        </w:rPr>
        <w:t>u</w:t>
      </w:r>
      <w:r w:rsidRPr="008E5648">
        <w:rPr>
          <w:rFonts w:ascii="Aptos" w:hAnsi="Aptos" w:cstheme="minorHAnsi"/>
          <w:sz w:val="22"/>
          <w:szCs w:val="22"/>
        </w:rPr>
        <w:t xml:space="preserve"> Bakar</w:t>
      </w:r>
      <w:r>
        <w:rPr>
          <w:rFonts w:ascii="Aptos" w:hAnsi="Aptos" w:cstheme="minorHAnsi"/>
          <w:sz w:val="22"/>
          <w:szCs w:val="22"/>
        </w:rPr>
        <w:t>.</w:t>
      </w:r>
    </w:p>
    <w:p w14:paraId="770CA3B6"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8 - PRIMICI OD FINANCIJSKE IMOVINE I ZADUŽIVANJA</w:t>
      </w:r>
    </w:p>
    <w:p w14:paraId="3AF172C1"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22</w:t>
      </w:r>
      <w:r w:rsidRPr="00F61B8D">
        <w:rPr>
          <w:rFonts w:ascii="Aptos" w:hAnsi="Aptos" w:cs="Calibri"/>
          <w:b/>
          <w:bCs/>
          <w:color w:val="000000"/>
          <w:sz w:val="22"/>
          <w:szCs w:val="22"/>
        </w:rPr>
        <w:t>.</w:t>
      </w:r>
    </w:p>
    <w:p w14:paraId="5BCC36D8"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Primici od financijske imovine i zaduživanja u ovom izvještajnom razdoblju nisu realizirani.</w:t>
      </w:r>
    </w:p>
    <w:p w14:paraId="4460E96A"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5 - IZDACI ZA FINANCIJSKU IMOVINU I OTPLATE ZAJMOVA</w:t>
      </w:r>
    </w:p>
    <w:p w14:paraId="54E76564"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23</w:t>
      </w:r>
      <w:r w:rsidRPr="00F61B8D">
        <w:rPr>
          <w:rFonts w:ascii="Aptos" w:hAnsi="Aptos" w:cs="Calibri"/>
          <w:b/>
          <w:bCs/>
          <w:color w:val="000000"/>
          <w:sz w:val="22"/>
          <w:szCs w:val="22"/>
        </w:rPr>
        <w:t>.</w:t>
      </w:r>
    </w:p>
    <w:p w14:paraId="4C299E05"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Izdaci za financijsku imovinu i otplate zajmova</w:t>
      </w:r>
      <w:r>
        <w:rPr>
          <w:rFonts w:ascii="Aptos" w:hAnsi="Aptos" w:cstheme="minorHAnsi"/>
          <w:sz w:val="22"/>
          <w:szCs w:val="22"/>
        </w:rPr>
        <w:t xml:space="preserve"> – šifra 5443</w:t>
      </w:r>
      <w:r w:rsidRPr="00F61B8D">
        <w:rPr>
          <w:rFonts w:ascii="Aptos" w:hAnsi="Aptos" w:cstheme="minorHAnsi"/>
          <w:sz w:val="22"/>
          <w:szCs w:val="22"/>
        </w:rPr>
        <w:t xml:space="preserve"> iznose  191.119,99 €, a  odnose se na izdatke za otplatu glavnice primljenih kredita od HBOR-a za izgradnju školske sportske dvorane Osnovne škole </w:t>
      </w:r>
      <w:proofErr w:type="spellStart"/>
      <w:r w:rsidRPr="00F61B8D">
        <w:rPr>
          <w:rFonts w:ascii="Aptos" w:hAnsi="Aptos" w:cstheme="minorHAnsi"/>
          <w:sz w:val="22"/>
          <w:szCs w:val="22"/>
        </w:rPr>
        <w:t>Hreljin</w:t>
      </w:r>
      <w:proofErr w:type="spellEnd"/>
      <w:r w:rsidRPr="00F61B8D">
        <w:rPr>
          <w:rFonts w:ascii="Aptos" w:hAnsi="Aptos" w:cstheme="minorHAnsi"/>
          <w:sz w:val="22"/>
          <w:szCs w:val="22"/>
        </w:rPr>
        <w:t xml:space="preserve"> te modernizaciju i rekonstrukciju javne rasvjete na gradskom području.</w:t>
      </w:r>
    </w:p>
    <w:p w14:paraId="73A006D9" w14:textId="77777777" w:rsidR="0085328F" w:rsidRPr="00F61B8D" w:rsidRDefault="0085328F" w:rsidP="0085328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 odnosu na 2022. godinu izdaci za financijsku imovinu i otplate zajmova manji su iz razloga što je u 2023. godini otplaćena jedna i posljednja rata glavnice primljenog kredita za izgradnju školske sportske dvorane Osnovne škole </w:t>
      </w:r>
      <w:proofErr w:type="spellStart"/>
      <w:r w:rsidRPr="00F61B8D">
        <w:rPr>
          <w:rFonts w:ascii="Aptos" w:hAnsi="Aptos" w:cstheme="minorHAnsi"/>
          <w:sz w:val="22"/>
          <w:szCs w:val="22"/>
        </w:rPr>
        <w:t>Hreljin</w:t>
      </w:r>
      <w:proofErr w:type="spellEnd"/>
      <w:r w:rsidRPr="00F61B8D">
        <w:rPr>
          <w:rFonts w:ascii="Aptos" w:hAnsi="Aptos" w:cstheme="minorHAnsi"/>
          <w:sz w:val="22"/>
          <w:szCs w:val="22"/>
        </w:rPr>
        <w:t>.</w:t>
      </w:r>
    </w:p>
    <w:p w14:paraId="5D339549" w14:textId="77777777" w:rsidR="0085328F" w:rsidRPr="00F61B8D" w:rsidRDefault="0085328F" w:rsidP="0085328F">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 xml:space="preserve">ŠIFRA X005 - REZULTAT POSLOVANJA </w:t>
      </w:r>
    </w:p>
    <w:p w14:paraId="1EF30570" w14:textId="77777777" w:rsidR="0085328F" w:rsidRPr="00F61B8D" w:rsidRDefault="0085328F" w:rsidP="0085328F">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24</w:t>
      </w:r>
      <w:r w:rsidRPr="00F61B8D">
        <w:rPr>
          <w:rFonts w:ascii="Aptos" w:hAnsi="Aptos" w:cs="Calibri"/>
          <w:b/>
          <w:bCs/>
          <w:color w:val="000000"/>
          <w:sz w:val="22"/>
          <w:szCs w:val="22"/>
        </w:rPr>
        <w:t>.</w:t>
      </w:r>
    </w:p>
    <w:p w14:paraId="72EB7668" w14:textId="26CF94D1" w:rsidR="0085328F" w:rsidRPr="00F61B8D" w:rsidRDefault="0085328F" w:rsidP="00BA2FDE">
      <w:pPr>
        <w:spacing w:before="60" w:after="60"/>
        <w:ind w:left="-425" w:right="-380" w:firstLine="284"/>
        <w:jc w:val="both"/>
        <w:rPr>
          <w:rFonts w:ascii="Aptos" w:hAnsi="Aptos" w:cstheme="minorHAnsi"/>
          <w:sz w:val="22"/>
          <w:szCs w:val="22"/>
        </w:rPr>
      </w:pPr>
      <w:r w:rsidRPr="00095DB8">
        <w:rPr>
          <w:rFonts w:ascii="Aptos" w:hAnsi="Aptos" w:cstheme="minorHAnsi"/>
          <w:sz w:val="22"/>
          <w:szCs w:val="22"/>
        </w:rPr>
        <w:t xml:space="preserve">U ovom izvještajnom razdoblju evidentiran je višak prihoda i primitaka nad rashodima i izdacima u iznosu od </w:t>
      </w:r>
      <w:r>
        <w:rPr>
          <w:rFonts w:ascii="Aptos" w:hAnsi="Aptos" w:cstheme="minorHAnsi"/>
          <w:sz w:val="22"/>
          <w:szCs w:val="22"/>
        </w:rPr>
        <w:t>3.443.</w:t>
      </w:r>
      <w:r w:rsidR="006D0455">
        <w:rPr>
          <w:rFonts w:ascii="Aptos" w:hAnsi="Aptos" w:cstheme="minorHAnsi"/>
          <w:sz w:val="22"/>
          <w:szCs w:val="22"/>
        </w:rPr>
        <w:t>684</w:t>
      </w:r>
      <w:r>
        <w:rPr>
          <w:rFonts w:ascii="Aptos" w:hAnsi="Aptos" w:cstheme="minorHAnsi"/>
          <w:sz w:val="22"/>
          <w:szCs w:val="22"/>
        </w:rPr>
        <w:t xml:space="preserve">,23 </w:t>
      </w:r>
      <w:r w:rsidRPr="00095DB8">
        <w:rPr>
          <w:rFonts w:ascii="Aptos" w:hAnsi="Aptos" w:cstheme="minorHAnsi"/>
          <w:sz w:val="22"/>
          <w:szCs w:val="22"/>
        </w:rPr>
        <w:t>€. Uzimajući u obzir preneseni višak prihoda i primitaka, ukupni višak prihoda i primitaka  raspoloživ u slijedećem razdoblju</w:t>
      </w:r>
      <w:r>
        <w:rPr>
          <w:rFonts w:ascii="Aptos" w:hAnsi="Aptos" w:cstheme="minorHAnsi"/>
          <w:sz w:val="22"/>
          <w:szCs w:val="22"/>
        </w:rPr>
        <w:t xml:space="preserve"> – šifra X006</w:t>
      </w:r>
      <w:r w:rsidRPr="00095DB8">
        <w:rPr>
          <w:rFonts w:ascii="Aptos" w:hAnsi="Aptos" w:cstheme="minorHAnsi"/>
          <w:sz w:val="22"/>
          <w:szCs w:val="22"/>
        </w:rPr>
        <w:t xml:space="preserve"> iznosi </w:t>
      </w:r>
      <w:r>
        <w:rPr>
          <w:rFonts w:ascii="Aptos" w:hAnsi="Aptos" w:cstheme="minorHAnsi"/>
          <w:sz w:val="22"/>
          <w:szCs w:val="22"/>
        </w:rPr>
        <w:t>6.355.</w:t>
      </w:r>
      <w:r w:rsidR="006D0455">
        <w:rPr>
          <w:rFonts w:ascii="Aptos" w:hAnsi="Aptos" w:cstheme="minorHAnsi"/>
          <w:sz w:val="22"/>
          <w:szCs w:val="22"/>
        </w:rPr>
        <w:t>656,74</w:t>
      </w:r>
      <w:r>
        <w:rPr>
          <w:rFonts w:ascii="Aptos" w:hAnsi="Aptos" w:cstheme="minorHAnsi"/>
          <w:sz w:val="22"/>
          <w:szCs w:val="22"/>
        </w:rPr>
        <w:t xml:space="preserve"> </w:t>
      </w:r>
      <w:r w:rsidRPr="00095DB8">
        <w:rPr>
          <w:rFonts w:ascii="Aptos" w:hAnsi="Aptos" w:cstheme="minorHAnsi"/>
          <w:sz w:val="22"/>
          <w:szCs w:val="22"/>
        </w:rPr>
        <w:t xml:space="preserve">€. </w:t>
      </w:r>
    </w:p>
    <w:p w14:paraId="255D519C" w14:textId="70215D73" w:rsidR="00B17337" w:rsidRPr="00F61B8D" w:rsidRDefault="00C54F0E" w:rsidP="00C54F0E">
      <w:pPr>
        <w:shd w:val="clear" w:color="auto" w:fill="D9D9D9" w:themeFill="background1" w:themeFillShade="D9"/>
        <w:spacing w:before="60" w:after="60"/>
        <w:ind w:left="-425" w:right="-380"/>
        <w:jc w:val="both"/>
        <w:rPr>
          <w:rFonts w:ascii="Aptos" w:hAnsi="Aptos" w:cstheme="minorHAnsi"/>
          <w:b/>
          <w:sz w:val="22"/>
          <w:szCs w:val="22"/>
        </w:rPr>
      </w:pPr>
      <w:r>
        <w:rPr>
          <w:rFonts w:ascii="Aptos" w:hAnsi="Aptos" w:cstheme="minorHAnsi"/>
          <w:b/>
          <w:sz w:val="22"/>
          <w:szCs w:val="22"/>
        </w:rPr>
        <w:t>B</w:t>
      </w:r>
      <w:r w:rsidR="006202F0" w:rsidRPr="00F61B8D">
        <w:rPr>
          <w:rFonts w:ascii="Aptos" w:hAnsi="Aptos" w:cstheme="minorHAnsi"/>
          <w:b/>
          <w:sz w:val="22"/>
          <w:szCs w:val="22"/>
        </w:rPr>
        <w:t xml:space="preserve">/  BILJEŠKE UZ BILANCU </w:t>
      </w:r>
    </w:p>
    <w:p w14:paraId="234328EA" w14:textId="23DA6784" w:rsidR="005C3EC0" w:rsidRPr="00F61B8D" w:rsidRDefault="005C3EC0" w:rsidP="005C3EC0">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w:t>
      </w:r>
    </w:p>
    <w:p w14:paraId="7FB27862" w14:textId="17B37FB4" w:rsidR="009409B0" w:rsidRPr="006D0455" w:rsidRDefault="009409B0" w:rsidP="00D51A7F">
      <w:pPr>
        <w:spacing w:before="60" w:after="60"/>
        <w:ind w:left="-425" w:right="-380" w:firstLine="284"/>
        <w:jc w:val="both"/>
        <w:rPr>
          <w:rFonts w:ascii="Aptos" w:hAnsi="Aptos" w:cstheme="minorHAnsi"/>
          <w:sz w:val="22"/>
          <w:szCs w:val="22"/>
        </w:rPr>
      </w:pPr>
      <w:r w:rsidRPr="006D0455">
        <w:rPr>
          <w:rFonts w:ascii="Aptos" w:hAnsi="Aptos" w:cstheme="minorHAnsi"/>
          <w:sz w:val="22"/>
          <w:szCs w:val="22"/>
        </w:rPr>
        <w:t>Analizom financijskih podataka iz bilance na dan 31.12.20</w:t>
      </w:r>
      <w:r w:rsidR="000612DB" w:rsidRPr="006D0455">
        <w:rPr>
          <w:rFonts w:ascii="Aptos" w:hAnsi="Aptos" w:cstheme="minorHAnsi"/>
          <w:sz w:val="22"/>
          <w:szCs w:val="22"/>
        </w:rPr>
        <w:t>2</w:t>
      </w:r>
      <w:r w:rsidR="006D0455">
        <w:rPr>
          <w:rFonts w:ascii="Aptos" w:hAnsi="Aptos" w:cstheme="minorHAnsi"/>
          <w:sz w:val="22"/>
          <w:szCs w:val="22"/>
        </w:rPr>
        <w:t>3</w:t>
      </w:r>
      <w:r w:rsidRPr="006D0455">
        <w:rPr>
          <w:rFonts w:ascii="Aptos" w:hAnsi="Aptos" w:cstheme="minorHAnsi"/>
          <w:sz w:val="22"/>
          <w:szCs w:val="22"/>
        </w:rPr>
        <w:t>. godine utvrđeno je:</w:t>
      </w:r>
    </w:p>
    <w:p w14:paraId="7CC13BD0" w14:textId="00657425" w:rsidR="009409B0" w:rsidRPr="006D0455" w:rsidRDefault="009409B0" w:rsidP="00D51A7F">
      <w:pPr>
        <w:pStyle w:val="Odlomakpopisa"/>
        <w:numPr>
          <w:ilvl w:val="0"/>
          <w:numId w:val="12"/>
        </w:numPr>
        <w:spacing w:before="60" w:after="60"/>
        <w:ind w:left="0" w:right="-380" w:hanging="284"/>
        <w:contextualSpacing w:val="0"/>
        <w:jc w:val="both"/>
        <w:rPr>
          <w:rFonts w:ascii="Aptos" w:hAnsi="Aptos" w:cstheme="minorHAnsi"/>
          <w:sz w:val="22"/>
          <w:szCs w:val="22"/>
        </w:rPr>
      </w:pPr>
      <w:r w:rsidRPr="006D0455">
        <w:rPr>
          <w:rFonts w:ascii="Aptos" w:hAnsi="Aptos" w:cstheme="minorHAnsi"/>
          <w:sz w:val="22"/>
          <w:szCs w:val="22"/>
        </w:rPr>
        <w:t>Stanje</w:t>
      </w:r>
      <w:r w:rsidR="006F0501" w:rsidRPr="006D0455">
        <w:rPr>
          <w:rFonts w:ascii="Aptos" w:hAnsi="Aptos" w:cstheme="minorHAnsi"/>
          <w:sz w:val="22"/>
          <w:szCs w:val="22"/>
        </w:rPr>
        <w:t xml:space="preserve"> nefinancijske</w:t>
      </w:r>
      <w:r w:rsidRPr="006D0455">
        <w:rPr>
          <w:rFonts w:ascii="Aptos" w:hAnsi="Aptos" w:cstheme="minorHAnsi"/>
          <w:sz w:val="22"/>
          <w:szCs w:val="22"/>
        </w:rPr>
        <w:t xml:space="preserve"> imovine </w:t>
      </w:r>
      <w:r w:rsidR="005F5A9D" w:rsidRPr="006D0455">
        <w:rPr>
          <w:rFonts w:ascii="Aptos" w:hAnsi="Aptos" w:cstheme="minorHAnsi"/>
          <w:sz w:val="22"/>
          <w:szCs w:val="22"/>
        </w:rPr>
        <w:t>– šifra B00</w:t>
      </w:r>
      <w:r w:rsidR="006F0501" w:rsidRPr="006D0455">
        <w:rPr>
          <w:rFonts w:ascii="Aptos" w:hAnsi="Aptos" w:cstheme="minorHAnsi"/>
          <w:sz w:val="22"/>
          <w:szCs w:val="22"/>
        </w:rPr>
        <w:t>2</w:t>
      </w:r>
      <w:r w:rsidR="005F5A9D" w:rsidRPr="006D0455">
        <w:rPr>
          <w:rFonts w:ascii="Aptos" w:hAnsi="Aptos" w:cstheme="minorHAnsi"/>
          <w:sz w:val="22"/>
          <w:szCs w:val="22"/>
        </w:rPr>
        <w:t xml:space="preserve"> </w:t>
      </w:r>
      <w:r w:rsidRPr="006D0455">
        <w:rPr>
          <w:rFonts w:ascii="Aptos" w:hAnsi="Aptos" w:cstheme="minorHAnsi"/>
          <w:sz w:val="22"/>
          <w:szCs w:val="22"/>
        </w:rPr>
        <w:t xml:space="preserve">u iznosu od </w:t>
      </w:r>
      <w:r w:rsidR="006D0455">
        <w:rPr>
          <w:rFonts w:ascii="Aptos" w:hAnsi="Aptos" w:cstheme="minorHAnsi"/>
          <w:sz w:val="22"/>
          <w:szCs w:val="22"/>
        </w:rPr>
        <w:t>115.104.074,17 € ili</w:t>
      </w:r>
      <w:r w:rsidRPr="006D0455">
        <w:rPr>
          <w:rFonts w:ascii="Aptos" w:hAnsi="Aptos" w:cstheme="minorHAnsi"/>
          <w:sz w:val="22"/>
          <w:szCs w:val="22"/>
        </w:rPr>
        <w:t xml:space="preserve"> </w:t>
      </w:r>
      <w:r w:rsidR="006D0455">
        <w:rPr>
          <w:rFonts w:ascii="Aptos" w:hAnsi="Aptos" w:cstheme="minorHAnsi"/>
          <w:sz w:val="22"/>
          <w:szCs w:val="22"/>
        </w:rPr>
        <w:t>14,5</w:t>
      </w:r>
      <w:r w:rsidRPr="006D0455">
        <w:rPr>
          <w:rFonts w:ascii="Aptos" w:hAnsi="Aptos" w:cstheme="minorHAnsi"/>
          <w:sz w:val="22"/>
          <w:szCs w:val="22"/>
        </w:rPr>
        <w:t xml:space="preserve">% </w:t>
      </w:r>
      <w:r w:rsidR="008C7C5D" w:rsidRPr="006D0455">
        <w:rPr>
          <w:rFonts w:ascii="Aptos" w:hAnsi="Aptos" w:cstheme="minorHAnsi"/>
          <w:sz w:val="22"/>
          <w:szCs w:val="22"/>
        </w:rPr>
        <w:t>više</w:t>
      </w:r>
      <w:r w:rsidRPr="006D0455">
        <w:rPr>
          <w:rFonts w:ascii="Aptos" w:hAnsi="Aptos" w:cstheme="minorHAnsi"/>
          <w:sz w:val="22"/>
          <w:szCs w:val="22"/>
        </w:rPr>
        <w:t xml:space="preserve"> u odnosu na </w:t>
      </w:r>
      <w:r w:rsidR="00FC1E4A" w:rsidRPr="006D0455">
        <w:rPr>
          <w:rFonts w:ascii="Aptos" w:hAnsi="Aptos" w:cstheme="minorHAnsi"/>
          <w:sz w:val="22"/>
          <w:szCs w:val="22"/>
        </w:rPr>
        <w:t>stanje prethodne godine</w:t>
      </w:r>
    </w:p>
    <w:p w14:paraId="1C209047" w14:textId="5EDF997A" w:rsidR="00EB243E" w:rsidRPr="006D0455" w:rsidRDefault="008C7C5D" w:rsidP="00D51A7F">
      <w:pPr>
        <w:pStyle w:val="Odlomakpopisa"/>
        <w:numPr>
          <w:ilvl w:val="0"/>
          <w:numId w:val="12"/>
        </w:numPr>
        <w:spacing w:before="60" w:after="60"/>
        <w:ind w:left="0" w:right="-380" w:hanging="284"/>
        <w:contextualSpacing w:val="0"/>
        <w:jc w:val="both"/>
        <w:rPr>
          <w:rFonts w:ascii="Aptos" w:hAnsi="Aptos" w:cstheme="minorHAnsi"/>
          <w:sz w:val="22"/>
          <w:szCs w:val="22"/>
        </w:rPr>
      </w:pPr>
      <w:r w:rsidRPr="006D0455">
        <w:rPr>
          <w:rFonts w:ascii="Aptos" w:hAnsi="Aptos" w:cstheme="minorHAnsi"/>
          <w:sz w:val="22"/>
          <w:szCs w:val="22"/>
        </w:rPr>
        <w:t>Ukupna financijska imovina</w:t>
      </w:r>
      <w:r w:rsidR="006F0501" w:rsidRPr="006D0455">
        <w:rPr>
          <w:rFonts w:ascii="Aptos" w:hAnsi="Aptos" w:cstheme="minorHAnsi"/>
          <w:sz w:val="22"/>
          <w:szCs w:val="22"/>
        </w:rPr>
        <w:t xml:space="preserve"> – šifra 1</w:t>
      </w:r>
      <w:r w:rsidRPr="006D0455">
        <w:rPr>
          <w:rFonts w:ascii="Aptos" w:hAnsi="Aptos" w:cstheme="minorHAnsi"/>
          <w:sz w:val="22"/>
          <w:szCs w:val="22"/>
        </w:rPr>
        <w:t xml:space="preserve"> na kraju izvještajnog razdoblja iznosi </w:t>
      </w:r>
      <w:r w:rsidR="006D0455">
        <w:rPr>
          <w:rFonts w:ascii="Aptos" w:hAnsi="Aptos" w:cstheme="minorHAnsi"/>
          <w:sz w:val="22"/>
          <w:szCs w:val="22"/>
        </w:rPr>
        <w:t>39.207.413,18 €</w:t>
      </w:r>
      <w:r w:rsidRPr="006D0455">
        <w:rPr>
          <w:rFonts w:ascii="Aptos" w:hAnsi="Aptos" w:cstheme="minorHAnsi"/>
          <w:sz w:val="22"/>
          <w:szCs w:val="22"/>
        </w:rPr>
        <w:t xml:space="preserve"> što je </w:t>
      </w:r>
      <w:r w:rsidR="006F0501" w:rsidRPr="006D0455">
        <w:rPr>
          <w:rFonts w:ascii="Aptos" w:hAnsi="Aptos" w:cstheme="minorHAnsi"/>
          <w:sz w:val="22"/>
          <w:szCs w:val="22"/>
        </w:rPr>
        <w:t xml:space="preserve">za </w:t>
      </w:r>
      <w:r w:rsidR="006D0455">
        <w:rPr>
          <w:rFonts w:ascii="Aptos" w:hAnsi="Aptos" w:cstheme="minorHAnsi"/>
          <w:sz w:val="22"/>
          <w:szCs w:val="22"/>
        </w:rPr>
        <w:t>8,6</w:t>
      </w:r>
      <w:r w:rsidR="006F0501" w:rsidRPr="006D0455">
        <w:rPr>
          <w:rFonts w:ascii="Aptos" w:hAnsi="Aptos" w:cstheme="minorHAnsi"/>
          <w:sz w:val="22"/>
          <w:szCs w:val="22"/>
        </w:rPr>
        <w:t xml:space="preserve">% </w:t>
      </w:r>
      <w:r w:rsidR="006D0455">
        <w:rPr>
          <w:rFonts w:ascii="Aptos" w:hAnsi="Aptos" w:cstheme="minorHAnsi"/>
          <w:sz w:val="22"/>
          <w:szCs w:val="22"/>
        </w:rPr>
        <w:t>više</w:t>
      </w:r>
      <w:r w:rsidR="006F0501" w:rsidRPr="006D0455">
        <w:rPr>
          <w:rFonts w:ascii="Aptos" w:hAnsi="Aptos" w:cstheme="minorHAnsi"/>
          <w:sz w:val="22"/>
          <w:szCs w:val="22"/>
        </w:rPr>
        <w:t xml:space="preserve"> u</w:t>
      </w:r>
      <w:r w:rsidRPr="006D0455">
        <w:rPr>
          <w:rFonts w:ascii="Aptos" w:hAnsi="Aptos" w:cstheme="minorHAnsi"/>
          <w:sz w:val="22"/>
          <w:szCs w:val="22"/>
        </w:rPr>
        <w:t xml:space="preserve"> odnosu na isto prethodno razdoblje </w:t>
      </w:r>
    </w:p>
    <w:p w14:paraId="284BB50F" w14:textId="73AD9ADB" w:rsidR="009409B0" w:rsidRPr="006D0455" w:rsidRDefault="009409B0" w:rsidP="00D51A7F">
      <w:pPr>
        <w:pStyle w:val="Odlomakpopisa"/>
        <w:numPr>
          <w:ilvl w:val="0"/>
          <w:numId w:val="12"/>
        </w:numPr>
        <w:spacing w:before="60" w:after="60"/>
        <w:ind w:left="0" w:right="-380" w:hanging="284"/>
        <w:contextualSpacing w:val="0"/>
        <w:jc w:val="both"/>
        <w:rPr>
          <w:rFonts w:ascii="Aptos" w:hAnsi="Aptos" w:cstheme="minorHAnsi"/>
          <w:sz w:val="22"/>
          <w:szCs w:val="22"/>
        </w:rPr>
      </w:pPr>
      <w:r w:rsidRPr="006D0455">
        <w:rPr>
          <w:rFonts w:ascii="Aptos" w:hAnsi="Aptos" w:cstheme="minorHAnsi"/>
          <w:sz w:val="22"/>
          <w:szCs w:val="22"/>
        </w:rPr>
        <w:t>Stanje obveza</w:t>
      </w:r>
      <w:r w:rsidR="006F0501" w:rsidRPr="006D0455">
        <w:rPr>
          <w:rFonts w:ascii="Aptos" w:hAnsi="Aptos" w:cstheme="minorHAnsi"/>
          <w:sz w:val="22"/>
          <w:szCs w:val="22"/>
        </w:rPr>
        <w:t xml:space="preserve"> – šifra 2</w:t>
      </w:r>
      <w:r w:rsidR="001F4FF8" w:rsidRPr="006D0455">
        <w:rPr>
          <w:rFonts w:ascii="Aptos" w:hAnsi="Aptos" w:cstheme="minorHAnsi"/>
          <w:sz w:val="22"/>
          <w:szCs w:val="22"/>
        </w:rPr>
        <w:t xml:space="preserve"> na kraju </w:t>
      </w:r>
      <w:proofErr w:type="spellStart"/>
      <w:r w:rsidR="001F4FF8" w:rsidRPr="006D0455">
        <w:rPr>
          <w:rFonts w:ascii="Aptos" w:hAnsi="Aptos" w:cstheme="minorHAnsi"/>
          <w:sz w:val="22"/>
          <w:szCs w:val="22"/>
        </w:rPr>
        <w:t>izjveštajnog</w:t>
      </w:r>
      <w:proofErr w:type="spellEnd"/>
      <w:r w:rsidR="001F4FF8" w:rsidRPr="006D0455">
        <w:rPr>
          <w:rFonts w:ascii="Aptos" w:hAnsi="Aptos" w:cstheme="minorHAnsi"/>
          <w:sz w:val="22"/>
          <w:szCs w:val="22"/>
        </w:rPr>
        <w:t xml:space="preserve"> razdoblja iznosi</w:t>
      </w:r>
      <w:r w:rsidRPr="006D0455">
        <w:rPr>
          <w:rFonts w:ascii="Aptos" w:hAnsi="Aptos" w:cstheme="minorHAnsi"/>
          <w:sz w:val="22"/>
          <w:szCs w:val="22"/>
        </w:rPr>
        <w:t xml:space="preserve"> </w:t>
      </w:r>
      <w:r w:rsidR="006D0455">
        <w:rPr>
          <w:rFonts w:ascii="Aptos" w:hAnsi="Aptos" w:cstheme="minorHAnsi"/>
          <w:sz w:val="22"/>
          <w:szCs w:val="22"/>
        </w:rPr>
        <w:t>1.200.274,61 €</w:t>
      </w:r>
      <w:r w:rsidRPr="006D0455">
        <w:rPr>
          <w:rFonts w:ascii="Aptos" w:hAnsi="Aptos" w:cstheme="minorHAnsi"/>
          <w:sz w:val="22"/>
          <w:szCs w:val="22"/>
        </w:rPr>
        <w:t xml:space="preserve">, što je u odnosu na </w:t>
      </w:r>
      <w:r w:rsidR="001F4FF8" w:rsidRPr="006D0455">
        <w:rPr>
          <w:rFonts w:ascii="Aptos" w:hAnsi="Aptos" w:cstheme="minorHAnsi"/>
          <w:sz w:val="22"/>
          <w:szCs w:val="22"/>
        </w:rPr>
        <w:t xml:space="preserve">isto razdoblje </w:t>
      </w:r>
      <w:r w:rsidRPr="006D0455">
        <w:rPr>
          <w:rFonts w:ascii="Aptos" w:hAnsi="Aptos" w:cstheme="minorHAnsi"/>
          <w:sz w:val="22"/>
          <w:szCs w:val="22"/>
        </w:rPr>
        <w:t>20</w:t>
      </w:r>
      <w:r w:rsidR="00101646" w:rsidRPr="006D0455">
        <w:rPr>
          <w:rFonts w:ascii="Aptos" w:hAnsi="Aptos" w:cstheme="minorHAnsi"/>
          <w:sz w:val="22"/>
          <w:szCs w:val="22"/>
        </w:rPr>
        <w:t>2</w:t>
      </w:r>
      <w:r w:rsidR="00CC5EE6">
        <w:rPr>
          <w:rFonts w:ascii="Aptos" w:hAnsi="Aptos" w:cstheme="minorHAnsi"/>
          <w:sz w:val="22"/>
          <w:szCs w:val="22"/>
        </w:rPr>
        <w:t>2</w:t>
      </w:r>
      <w:r w:rsidRPr="006D0455">
        <w:rPr>
          <w:rFonts w:ascii="Aptos" w:hAnsi="Aptos" w:cstheme="minorHAnsi"/>
          <w:sz w:val="22"/>
          <w:szCs w:val="22"/>
        </w:rPr>
        <w:t>. godin</w:t>
      </w:r>
      <w:r w:rsidR="001F4FF8" w:rsidRPr="006D0455">
        <w:rPr>
          <w:rFonts w:ascii="Aptos" w:hAnsi="Aptos" w:cstheme="minorHAnsi"/>
          <w:sz w:val="22"/>
          <w:szCs w:val="22"/>
        </w:rPr>
        <w:t>e</w:t>
      </w:r>
      <w:r w:rsidRPr="006D0455">
        <w:rPr>
          <w:rFonts w:ascii="Aptos" w:hAnsi="Aptos" w:cstheme="minorHAnsi"/>
          <w:sz w:val="22"/>
          <w:szCs w:val="22"/>
        </w:rPr>
        <w:t xml:space="preserve"> </w:t>
      </w:r>
      <w:r w:rsidR="006F0501" w:rsidRPr="006D0455">
        <w:rPr>
          <w:rFonts w:ascii="Aptos" w:hAnsi="Aptos" w:cstheme="minorHAnsi"/>
          <w:sz w:val="22"/>
          <w:szCs w:val="22"/>
        </w:rPr>
        <w:t>manje</w:t>
      </w:r>
      <w:r w:rsidR="001F4FF8" w:rsidRPr="006D0455">
        <w:rPr>
          <w:rFonts w:ascii="Aptos" w:hAnsi="Aptos" w:cstheme="minorHAnsi"/>
          <w:sz w:val="22"/>
          <w:szCs w:val="22"/>
        </w:rPr>
        <w:t xml:space="preserve"> </w:t>
      </w:r>
      <w:r w:rsidRPr="006D0455">
        <w:rPr>
          <w:rFonts w:ascii="Aptos" w:hAnsi="Aptos" w:cstheme="minorHAnsi"/>
          <w:sz w:val="22"/>
          <w:szCs w:val="22"/>
        </w:rPr>
        <w:t xml:space="preserve"> za </w:t>
      </w:r>
      <w:r w:rsidR="00CC5EE6">
        <w:rPr>
          <w:rFonts w:ascii="Aptos" w:hAnsi="Aptos" w:cstheme="minorHAnsi"/>
          <w:sz w:val="22"/>
          <w:szCs w:val="22"/>
        </w:rPr>
        <w:t>36</w:t>
      </w:r>
      <w:r w:rsidRPr="006D0455">
        <w:rPr>
          <w:rFonts w:ascii="Aptos" w:hAnsi="Aptos" w:cstheme="minorHAnsi"/>
          <w:sz w:val="22"/>
          <w:szCs w:val="22"/>
        </w:rPr>
        <w:t>%</w:t>
      </w:r>
      <w:r w:rsidR="006F0501" w:rsidRPr="006D0455">
        <w:rPr>
          <w:rFonts w:ascii="Aptos" w:hAnsi="Aptos" w:cstheme="minorHAnsi"/>
          <w:sz w:val="22"/>
          <w:szCs w:val="22"/>
        </w:rPr>
        <w:t xml:space="preserve"> </w:t>
      </w:r>
    </w:p>
    <w:p w14:paraId="6340FC01" w14:textId="52AD1406" w:rsidR="004335C3" w:rsidRPr="00CC5EE6" w:rsidRDefault="009409B0" w:rsidP="004335C3">
      <w:pPr>
        <w:pStyle w:val="Odlomakpopisa"/>
        <w:numPr>
          <w:ilvl w:val="0"/>
          <w:numId w:val="12"/>
        </w:numPr>
        <w:spacing w:before="60" w:after="60"/>
        <w:ind w:left="0" w:right="-380" w:hanging="284"/>
        <w:contextualSpacing w:val="0"/>
        <w:jc w:val="both"/>
        <w:rPr>
          <w:rFonts w:ascii="Aptos" w:hAnsi="Aptos" w:cstheme="minorHAnsi"/>
          <w:sz w:val="22"/>
          <w:szCs w:val="22"/>
        </w:rPr>
      </w:pPr>
      <w:r w:rsidRPr="00CC5EE6">
        <w:rPr>
          <w:rFonts w:ascii="Aptos" w:hAnsi="Aptos" w:cstheme="minorHAnsi"/>
          <w:sz w:val="22"/>
          <w:szCs w:val="22"/>
        </w:rPr>
        <w:lastRenderedPageBreak/>
        <w:t xml:space="preserve">Stanje vlastitih izvora </w:t>
      </w:r>
      <w:r w:rsidR="006F0501" w:rsidRPr="00CC5EE6">
        <w:rPr>
          <w:rFonts w:ascii="Aptos" w:hAnsi="Aptos" w:cstheme="minorHAnsi"/>
          <w:sz w:val="22"/>
          <w:szCs w:val="22"/>
        </w:rPr>
        <w:t>– šifra 9</w:t>
      </w:r>
      <w:r w:rsidRPr="00CC5EE6">
        <w:rPr>
          <w:rFonts w:ascii="Aptos" w:hAnsi="Aptos" w:cstheme="minorHAnsi"/>
          <w:sz w:val="22"/>
          <w:szCs w:val="22"/>
        </w:rPr>
        <w:t xml:space="preserve"> </w:t>
      </w:r>
      <w:r w:rsidR="00C93507" w:rsidRPr="00CC5EE6">
        <w:rPr>
          <w:rFonts w:ascii="Aptos" w:hAnsi="Aptos" w:cstheme="minorHAnsi"/>
          <w:sz w:val="22"/>
          <w:szCs w:val="22"/>
        </w:rPr>
        <w:t xml:space="preserve"> iznosi </w:t>
      </w:r>
      <w:r w:rsidR="00CC5EE6">
        <w:rPr>
          <w:rFonts w:ascii="Aptos" w:hAnsi="Aptos" w:cstheme="minorHAnsi"/>
          <w:sz w:val="22"/>
          <w:szCs w:val="22"/>
        </w:rPr>
        <w:t>153.111.212,74 € ili 13,6% više u</w:t>
      </w:r>
      <w:r w:rsidR="00C93507" w:rsidRPr="00CC5EE6">
        <w:rPr>
          <w:rFonts w:ascii="Aptos" w:hAnsi="Aptos" w:cstheme="minorHAnsi"/>
          <w:sz w:val="22"/>
          <w:szCs w:val="22"/>
        </w:rPr>
        <w:t xml:space="preserve"> odnosu na iste podatke  u prethodnom obračunskom razdoblju</w:t>
      </w:r>
      <w:r w:rsidR="00EB243E" w:rsidRPr="00CC5EE6">
        <w:rPr>
          <w:rFonts w:ascii="Aptos" w:hAnsi="Aptos" w:cstheme="minorHAnsi"/>
          <w:sz w:val="22"/>
          <w:szCs w:val="22"/>
        </w:rPr>
        <w:t>.</w:t>
      </w:r>
      <w:r w:rsidR="00CB0A78" w:rsidRPr="00CC5EE6">
        <w:rPr>
          <w:rFonts w:ascii="Aptos" w:hAnsi="Aptos" w:cstheme="minorHAnsi"/>
          <w:sz w:val="22"/>
          <w:szCs w:val="22"/>
        </w:rPr>
        <w:t xml:space="preserve">  </w:t>
      </w:r>
    </w:p>
    <w:p w14:paraId="7A94DF5A" w14:textId="1DCAEFAD" w:rsidR="00D51A7F" w:rsidRPr="00F61B8D" w:rsidRDefault="00D51A7F" w:rsidP="009C645D">
      <w:pPr>
        <w:pBdr>
          <w:top w:val="single" w:sz="4" w:space="1" w:color="auto"/>
          <w:left w:val="single" w:sz="4" w:space="0"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B001 - IMOVINA</w:t>
      </w:r>
    </w:p>
    <w:p w14:paraId="00736E6F" w14:textId="097F0C09" w:rsidR="005C3EC0" w:rsidRPr="00F61B8D" w:rsidRDefault="005C3EC0"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p>
    <w:p w14:paraId="170D907D" w14:textId="17CBCC90" w:rsidR="005E5645" w:rsidRPr="00F61B8D" w:rsidRDefault="005E5645" w:rsidP="005E5645">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B002 – </w:t>
      </w:r>
      <w:proofErr w:type="spellStart"/>
      <w:r w:rsidRPr="00F61B8D">
        <w:rPr>
          <w:rFonts w:ascii="Aptos" w:hAnsi="Aptos" w:cstheme="minorHAnsi"/>
          <w:b/>
          <w:sz w:val="22"/>
          <w:szCs w:val="22"/>
        </w:rPr>
        <w:t>Nefinancijska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p>
    <w:p w14:paraId="7E6CB67E" w14:textId="55DB4132" w:rsidR="005E5645" w:rsidRPr="00410ADF" w:rsidRDefault="005E5645" w:rsidP="005E5645">
      <w:pPr>
        <w:spacing w:before="60" w:after="60"/>
        <w:ind w:left="-425" w:right="-380" w:firstLine="284"/>
        <w:jc w:val="both"/>
        <w:rPr>
          <w:rFonts w:ascii="Aptos" w:hAnsi="Aptos" w:cstheme="minorHAnsi"/>
          <w:sz w:val="22"/>
          <w:szCs w:val="22"/>
        </w:rPr>
      </w:pPr>
      <w:r w:rsidRPr="00410ADF">
        <w:rPr>
          <w:rFonts w:ascii="Aptos" w:hAnsi="Aptos" w:cstheme="minorHAnsi"/>
          <w:sz w:val="22"/>
          <w:szCs w:val="22"/>
        </w:rPr>
        <w:t>Ukupna vrijednost nefinancijske imovine  na dan 31.12.202</w:t>
      </w:r>
      <w:r w:rsidR="00410ADF">
        <w:rPr>
          <w:rFonts w:ascii="Aptos" w:hAnsi="Aptos" w:cstheme="minorHAnsi"/>
          <w:sz w:val="22"/>
          <w:szCs w:val="22"/>
        </w:rPr>
        <w:t>3</w:t>
      </w:r>
      <w:r w:rsidRPr="00410ADF">
        <w:rPr>
          <w:rFonts w:ascii="Aptos" w:hAnsi="Aptos" w:cstheme="minorHAnsi"/>
          <w:sz w:val="22"/>
          <w:szCs w:val="22"/>
        </w:rPr>
        <w:t xml:space="preserve">. godine iznosi </w:t>
      </w:r>
      <w:r w:rsidR="00BA2FDE">
        <w:rPr>
          <w:rFonts w:ascii="Aptos" w:hAnsi="Aptos" w:cstheme="minorHAnsi"/>
          <w:sz w:val="22"/>
          <w:szCs w:val="22"/>
        </w:rPr>
        <w:t>115.104.074,17</w:t>
      </w:r>
      <w:r w:rsidR="00410ADF">
        <w:rPr>
          <w:rFonts w:ascii="Aptos" w:hAnsi="Aptos" w:cstheme="minorHAnsi"/>
          <w:sz w:val="22"/>
          <w:szCs w:val="22"/>
        </w:rPr>
        <w:t xml:space="preserve"> €</w:t>
      </w:r>
      <w:r w:rsidRPr="00410ADF">
        <w:rPr>
          <w:rFonts w:ascii="Aptos" w:hAnsi="Aptos" w:cstheme="minorHAnsi"/>
          <w:sz w:val="22"/>
          <w:szCs w:val="22"/>
        </w:rPr>
        <w:t>, što je u odnosu na vrijednost iste u 202</w:t>
      </w:r>
      <w:r w:rsidR="00410ADF">
        <w:rPr>
          <w:rFonts w:ascii="Aptos" w:hAnsi="Aptos" w:cstheme="minorHAnsi"/>
          <w:sz w:val="22"/>
          <w:szCs w:val="22"/>
        </w:rPr>
        <w:t>2</w:t>
      </w:r>
      <w:r w:rsidRPr="00410ADF">
        <w:rPr>
          <w:rFonts w:ascii="Aptos" w:hAnsi="Aptos" w:cstheme="minorHAnsi"/>
          <w:sz w:val="22"/>
          <w:szCs w:val="22"/>
        </w:rPr>
        <w:t xml:space="preserve">. godini više za </w:t>
      </w:r>
      <w:r w:rsidR="00BA2FDE">
        <w:rPr>
          <w:rFonts w:ascii="Aptos" w:hAnsi="Aptos" w:cstheme="minorHAnsi"/>
          <w:sz w:val="22"/>
          <w:szCs w:val="22"/>
        </w:rPr>
        <w:t>14,5</w:t>
      </w:r>
      <w:r w:rsidRPr="00410ADF">
        <w:rPr>
          <w:rFonts w:ascii="Aptos" w:hAnsi="Aptos" w:cstheme="minorHAnsi"/>
          <w:sz w:val="22"/>
          <w:szCs w:val="22"/>
        </w:rPr>
        <w:t>%.</w:t>
      </w:r>
    </w:p>
    <w:p w14:paraId="2BA1EA9F" w14:textId="1FF1572B" w:rsidR="005E5645" w:rsidRDefault="005E5645" w:rsidP="005E5645">
      <w:pPr>
        <w:spacing w:before="60" w:after="60"/>
        <w:ind w:left="-425" w:right="-380" w:firstLine="284"/>
        <w:jc w:val="both"/>
        <w:rPr>
          <w:rFonts w:ascii="Aptos" w:hAnsi="Aptos" w:cstheme="minorHAnsi"/>
          <w:sz w:val="22"/>
          <w:szCs w:val="22"/>
        </w:rPr>
      </w:pPr>
      <w:r w:rsidRPr="001C2994">
        <w:rPr>
          <w:rFonts w:ascii="Aptos" w:hAnsi="Aptos" w:cstheme="minorHAnsi"/>
          <w:sz w:val="22"/>
          <w:szCs w:val="22"/>
        </w:rPr>
        <w:t>Ispravak vrijednosti nefinancijske imovine za 202</w:t>
      </w:r>
      <w:r w:rsidR="001C2994">
        <w:rPr>
          <w:rFonts w:ascii="Aptos" w:hAnsi="Aptos" w:cstheme="minorHAnsi"/>
          <w:sz w:val="22"/>
          <w:szCs w:val="22"/>
        </w:rPr>
        <w:t>3</w:t>
      </w:r>
      <w:r w:rsidRPr="001C2994">
        <w:rPr>
          <w:rFonts w:ascii="Aptos" w:hAnsi="Aptos" w:cstheme="minorHAnsi"/>
          <w:sz w:val="22"/>
          <w:szCs w:val="22"/>
        </w:rPr>
        <w:t>. godinu proveden je linearnom metodom uz primjenu zakonskih  stopa te ukupno obračunata amortizacija nefinancijske imovine za 202</w:t>
      </w:r>
      <w:r w:rsidR="001C2994">
        <w:rPr>
          <w:rFonts w:ascii="Aptos" w:hAnsi="Aptos" w:cstheme="minorHAnsi"/>
          <w:sz w:val="22"/>
          <w:szCs w:val="22"/>
        </w:rPr>
        <w:t>3</w:t>
      </w:r>
      <w:r w:rsidRPr="001C2994">
        <w:rPr>
          <w:rFonts w:ascii="Aptos" w:hAnsi="Aptos" w:cstheme="minorHAnsi"/>
          <w:sz w:val="22"/>
          <w:szCs w:val="22"/>
        </w:rPr>
        <w:t>. godinu iznosi</w:t>
      </w:r>
      <w:r w:rsidR="001C2994">
        <w:rPr>
          <w:rFonts w:ascii="Aptos" w:hAnsi="Aptos" w:cstheme="minorHAnsi"/>
          <w:sz w:val="22"/>
          <w:szCs w:val="22"/>
        </w:rPr>
        <w:t xml:space="preserve"> 23.818.172,99 €</w:t>
      </w:r>
      <w:r w:rsidRPr="001C2994">
        <w:rPr>
          <w:rFonts w:ascii="Aptos" w:hAnsi="Aptos" w:cstheme="minorHAnsi"/>
          <w:sz w:val="22"/>
          <w:szCs w:val="22"/>
        </w:rPr>
        <w:t>.</w:t>
      </w:r>
    </w:p>
    <w:p w14:paraId="0B89565E" w14:textId="55A9AA84" w:rsidR="00690D8D" w:rsidRDefault="00FD2D86" w:rsidP="00690D8D">
      <w:pPr>
        <w:spacing w:before="60" w:after="60"/>
        <w:ind w:left="-425" w:right="-380" w:firstLine="284"/>
        <w:jc w:val="both"/>
        <w:rPr>
          <w:rFonts w:ascii="Aptos" w:hAnsi="Aptos" w:cstheme="minorHAnsi"/>
          <w:sz w:val="22"/>
          <w:szCs w:val="22"/>
        </w:rPr>
      </w:pPr>
      <w:r w:rsidRPr="00FD2D86">
        <w:rPr>
          <w:rFonts w:ascii="Aptos" w:hAnsi="Aptos" w:cstheme="minorHAnsi"/>
          <w:sz w:val="22"/>
          <w:szCs w:val="22"/>
        </w:rPr>
        <w:t xml:space="preserve">Uzimajući u obzir </w:t>
      </w:r>
      <w:r w:rsidR="00690D8D" w:rsidRPr="00FD2D86">
        <w:rPr>
          <w:rFonts w:ascii="Aptos" w:hAnsi="Aptos" w:cstheme="minorHAnsi"/>
          <w:sz w:val="22"/>
          <w:szCs w:val="22"/>
        </w:rPr>
        <w:t>preračunavanj</w:t>
      </w:r>
      <w:r w:rsidR="00690D8D">
        <w:rPr>
          <w:rFonts w:ascii="Aptos" w:hAnsi="Aptos" w:cstheme="minorHAnsi"/>
          <w:sz w:val="22"/>
          <w:szCs w:val="22"/>
        </w:rPr>
        <w:t>e</w:t>
      </w:r>
      <w:r w:rsidR="00690D8D" w:rsidRPr="00FD2D86">
        <w:rPr>
          <w:rFonts w:ascii="Aptos" w:hAnsi="Aptos" w:cstheme="minorHAnsi"/>
          <w:sz w:val="22"/>
          <w:szCs w:val="22"/>
        </w:rPr>
        <w:t xml:space="preserve"> iznosa iz kuna u eure i uspostavljanje bilančne ravnoteže sukladno uputi</w:t>
      </w:r>
      <w:r w:rsidR="00690D8D">
        <w:rPr>
          <w:rFonts w:ascii="Aptos" w:hAnsi="Aptos" w:cstheme="minorHAnsi"/>
          <w:sz w:val="22"/>
          <w:szCs w:val="22"/>
        </w:rPr>
        <w:t xml:space="preserve"> </w:t>
      </w:r>
      <w:r w:rsidR="00690D8D" w:rsidRPr="00FD2D86">
        <w:rPr>
          <w:rFonts w:ascii="Aptos" w:hAnsi="Aptos" w:cstheme="minorHAnsi"/>
          <w:sz w:val="22"/>
          <w:szCs w:val="22"/>
        </w:rPr>
        <w:t>Mini</w:t>
      </w:r>
      <w:r w:rsidR="00D674BE">
        <w:rPr>
          <w:rFonts w:ascii="Aptos" w:hAnsi="Aptos" w:cstheme="minorHAnsi"/>
          <w:sz w:val="22"/>
          <w:szCs w:val="22"/>
        </w:rPr>
        <w:t>s</w:t>
      </w:r>
      <w:r w:rsidR="00690D8D" w:rsidRPr="00FD2D86">
        <w:rPr>
          <w:rFonts w:ascii="Aptos" w:hAnsi="Aptos" w:cstheme="minorHAnsi"/>
          <w:sz w:val="22"/>
          <w:szCs w:val="22"/>
        </w:rPr>
        <w:t>tarstva financija</w:t>
      </w:r>
      <w:r w:rsidR="00690D8D">
        <w:rPr>
          <w:rFonts w:ascii="Aptos" w:hAnsi="Aptos" w:cstheme="minorHAnsi"/>
          <w:sz w:val="22"/>
          <w:szCs w:val="22"/>
        </w:rPr>
        <w:t xml:space="preserve">, izvršeno je </w:t>
      </w:r>
      <w:r w:rsidRPr="00FD2D86">
        <w:rPr>
          <w:rFonts w:ascii="Aptos" w:hAnsi="Aptos" w:cstheme="minorHAnsi"/>
          <w:sz w:val="22"/>
          <w:szCs w:val="22"/>
        </w:rPr>
        <w:t>usklađivanje razlika između analitičkih i sintetičkih evidencija</w:t>
      </w:r>
      <w:r>
        <w:rPr>
          <w:rFonts w:ascii="Aptos" w:hAnsi="Aptos" w:cstheme="minorHAnsi"/>
          <w:sz w:val="22"/>
          <w:szCs w:val="22"/>
        </w:rPr>
        <w:t xml:space="preserve"> </w:t>
      </w:r>
      <w:r w:rsidR="00690D8D">
        <w:rPr>
          <w:rFonts w:ascii="Aptos" w:hAnsi="Aptos" w:cstheme="minorHAnsi"/>
          <w:sz w:val="22"/>
          <w:szCs w:val="22"/>
        </w:rPr>
        <w:t>na dan 01.01.2023. godine u odnosu na stanje 31.12.2022. godine u iznosu od 1,07 €.</w:t>
      </w:r>
    </w:p>
    <w:p w14:paraId="13ADDE4B" w14:textId="0942F00B"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3.</w:t>
      </w:r>
    </w:p>
    <w:p w14:paraId="7DB2B07F" w14:textId="77777777" w:rsidR="005E5645" w:rsidRPr="00F61B8D" w:rsidRDefault="005E5645" w:rsidP="005E5645">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01 - </w:t>
      </w:r>
      <w:proofErr w:type="spellStart"/>
      <w:r w:rsidRPr="00F61B8D">
        <w:rPr>
          <w:rFonts w:ascii="Aptos" w:hAnsi="Aptos" w:cstheme="minorHAnsi"/>
          <w:b/>
          <w:sz w:val="22"/>
          <w:szCs w:val="22"/>
        </w:rPr>
        <w:t>Neproizvedena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dugotrajna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p>
    <w:p w14:paraId="4B29F711" w14:textId="095EA2F0" w:rsidR="005E5645" w:rsidRPr="00F61B8D" w:rsidRDefault="005E5645" w:rsidP="005E5645">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Vrijednost </w:t>
      </w:r>
      <w:proofErr w:type="spellStart"/>
      <w:r w:rsidRPr="00F61B8D">
        <w:rPr>
          <w:rFonts w:ascii="Aptos" w:hAnsi="Aptos" w:cstheme="minorHAnsi"/>
          <w:sz w:val="22"/>
          <w:szCs w:val="22"/>
        </w:rPr>
        <w:t>neproizvedene</w:t>
      </w:r>
      <w:proofErr w:type="spellEnd"/>
      <w:r w:rsidRPr="00F61B8D">
        <w:rPr>
          <w:rFonts w:ascii="Aptos" w:hAnsi="Aptos" w:cstheme="minorHAnsi"/>
          <w:sz w:val="22"/>
          <w:szCs w:val="22"/>
        </w:rPr>
        <w:t xml:space="preserve"> dugotrajne imovine u odnosu na vrijednost iste u 202</w:t>
      </w:r>
      <w:r w:rsidR="00410ADF">
        <w:rPr>
          <w:rFonts w:ascii="Aptos" w:hAnsi="Aptos" w:cstheme="minorHAnsi"/>
          <w:sz w:val="22"/>
          <w:szCs w:val="22"/>
        </w:rPr>
        <w:t>2</w:t>
      </w:r>
      <w:r w:rsidRPr="00F61B8D">
        <w:rPr>
          <w:rFonts w:ascii="Aptos" w:hAnsi="Aptos" w:cstheme="minorHAnsi"/>
          <w:sz w:val="22"/>
          <w:szCs w:val="22"/>
        </w:rPr>
        <w:t xml:space="preserve">. godini </w:t>
      </w:r>
      <w:r w:rsidR="00410ADF">
        <w:rPr>
          <w:rFonts w:ascii="Aptos" w:hAnsi="Aptos" w:cstheme="minorHAnsi"/>
          <w:sz w:val="22"/>
          <w:szCs w:val="22"/>
        </w:rPr>
        <w:t>veća je za 21,4% i</w:t>
      </w:r>
      <w:r w:rsidRPr="00F61B8D">
        <w:rPr>
          <w:rFonts w:ascii="Aptos" w:hAnsi="Aptos" w:cstheme="minorHAnsi"/>
          <w:sz w:val="22"/>
          <w:szCs w:val="22"/>
        </w:rPr>
        <w:t xml:space="preserve">  iznosi </w:t>
      </w:r>
      <w:r w:rsidR="00690D8D">
        <w:rPr>
          <w:rFonts w:ascii="Aptos" w:hAnsi="Aptos" w:cstheme="minorHAnsi"/>
          <w:sz w:val="22"/>
          <w:szCs w:val="22"/>
        </w:rPr>
        <w:t>71.666.527,90</w:t>
      </w:r>
      <w:r w:rsidR="00410ADF">
        <w:rPr>
          <w:rFonts w:ascii="Aptos" w:hAnsi="Aptos" w:cstheme="minorHAnsi"/>
          <w:sz w:val="22"/>
          <w:szCs w:val="22"/>
        </w:rPr>
        <w:t xml:space="preserve"> €</w:t>
      </w:r>
      <w:r w:rsidRPr="00F61B8D">
        <w:rPr>
          <w:rFonts w:ascii="Aptos" w:hAnsi="Aptos" w:cstheme="minorHAnsi"/>
          <w:sz w:val="22"/>
          <w:szCs w:val="22"/>
        </w:rPr>
        <w:t xml:space="preserve">.  </w:t>
      </w:r>
    </w:p>
    <w:p w14:paraId="592A68B9" w14:textId="37BA00BA"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4.</w:t>
      </w:r>
    </w:p>
    <w:p w14:paraId="23F815A1" w14:textId="77777777" w:rsidR="005E5645" w:rsidRPr="00F61B8D" w:rsidRDefault="005E5645" w:rsidP="005E5645">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011 – </w:t>
      </w:r>
      <w:proofErr w:type="spellStart"/>
      <w:r w:rsidRPr="00F61B8D">
        <w:rPr>
          <w:rFonts w:ascii="Aptos" w:hAnsi="Aptos" w:cstheme="minorHAnsi"/>
          <w:b/>
          <w:sz w:val="22"/>
          <w:szCs w:val="22"/>
        </w:rPr>
        <w:t>Materijalna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r w:rsidRPr="00F61B8D">
        <w:rPr>
          <w:rFonts w:ascii="Aptos" w:hAnsi="Aptos" w:cstheme="minorHAnsi"/>
          <w:b/>
          <w:sz w:val="22"/>
          <w:szCs w:val="22"/>
        </w:rPr>
        <w:t xml:space="preserve"> – </w:t>
      </w:r>
      <w:proofErr w:type="spellStart"/>
      <w:r w:rsidRPr="00F61B8D">
        <w:rPr>
          <w:rFonts w:ascii="Aptos" w:hAnsi="Aptos" w:cstheme="minorHAnsi"/>
          <w:b/>
          <w:sz w:val="22"/>
          <w:szCs w:val="22"/>
        </w:rPr>
        <w:t>prirodna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bogatstva</w:t>
      </w:r>
      <w:proofErr w:type="spellEnd"/>
    </w:p>
    <w:p w14:paraId="30362C26" w14:textId="3B70C013" w:rsidR="00486C5C" w:rsidRDefault="005E5645" w:rsidP="00966A1C">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Vrijednost materijalne imovine – zemljišta na kraju obračunskog razdoblja iznosi  </w:t>
      </w:r>
      <w:r w:rsidR="00410ADF">
        <w:rPr>
          <w:rFonts w:ascii="Aptos" w:hAnsi="Aptos" w:cstheme="minorHAnsi"/>
          <w:sz w:val="22"/>
          <w:szCs w:val="22"/>
        </w:rPr>
        <w:t>70.391.278,43 €, što je više za 21,4% u odnosu na prošlu godinu</w:t>
      </w:r>
      <w:r w:rsidR="00486C5C">
        <w:rPr>
          <w:rFonts w:ascii="Aptos" w:hAnsi="Aptos" w:cstheme="minorHAnsi"/>
          <w:sz w:val="22"/>
          <w:szCs w:val="22"/>
        </w:rPr>
        <w:t>, prvenstveno radi usklađenja i uknjiženja zemljišta prema Registru nekretnina Grada Bakra.</w:t>
      </w:r>
    </w:p>
    <w:p w14:paraId="4D41B25E" w14:textId="15B32978" w:rsidR="005E5645" w:rsidRDefault="00B530F1" w:rsidP="00B530F1">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Smanjenje vrijednosti zemljišta realizirano je u iznosu od 139.402,87 € uslijed </w:t>
      </w:r>
      <w:r w:rsidR="005E5645" w:rsidRPr="00F61B8D">
        <w:rPr>
          <w:rFonts w:ascii="Aptos" w:hAnsi="Aptos" w:cstheme="minorHAnsi"/>
          <w:sz w:val="22"/>
          <w:szCs w:val="22"/>
        </w:rPr>
        <w:t xml:space="preserve">prodaje građevinskog zemljišta na području Industrijske zone Bakar </w:t>
      </w:r>
      <w:r>
        <w:rPr>
          <w:rFonts w:ascii="Aptos" w:hAnsi="Aptos" w:cstheme="minorHAnsi"/>
          <w:sz w:val="22"/>
          <w:szCs w:val="22"/>
        </w:rPr>
        <w:t xml:space="preserve">te </w:t>
      </w:r>
      <w:r w:rsidR="008E32DD">
        <w:rPr>
          <w:rFonts w:ascii="Aptos" w:hAnsi="Aptos" w:cstheme="minorHAnsi"/>
          <w:sz w:val="22"/>
          <w:szCs w:val="22"/>
        </w:rPr>
        <w:t>prijenos</w:t>
      </w:r>
      <w:r>
        <w:rPr>
          <w:rFonts w:ascii="Aptos" w:hAnsi="Aptos" w:cstheme="minorHAnsi"/>
          <w:sz w:val="22"/>
          <w:szCs w:val="22"/>
        </w:rPr>
        <w:t>a</w:t>
      </w:r>
      <w:r w:rsidR="008E32DD">
        <w:rPr>
          <w:rFonts w:ascii="Aptos" w:hAnsi="Aptos" w:cstheme="minorHAnsi"/>
          <w:sz w:val="22"/>
          <w:szCs w:val="22"/>
        </w:rPr>
        <w:t xml:space="preserve"> prava vlasništva Županijskoj upravi za ceste Primorsko-goranske županije</w:t>
      </w:r>
      <w:r>
        <w:rPr>
          <w:rFonts w:ascii="Aptos" w:hAnsi="Aptos" w:cstheme="minorHAnsi"/>
          <w:sz w:val="22"/>
          <w:szCs w:val="22"/>
        </w:rPr>
        <w:t>.</w:t>
      </w:r>
    </w:p>
    <w:p w14:paraId="33F6275B" w14:textId="7146C83C" w:rsidR="00A12425" w:rsidRDefault="005E5645" w:rsidP="0083594A">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Povećanje vrijednosti zemljišta</w:t>
      </w:r>
      <w:r w:rsidR="008E32DD">
        <w:rPr>
          <w:rFonts w:ascii="Aptos" w:hAnsi="Aptos" w:cstheme="minorHAnsi"/>
          <w:sz w:val="22"/>
          <w:szCs w:val="22"/>
        </w:rPr>
        <w:t xml:space="preserve"> iznosi 12.548.895,37 €, od čega </w:t>
      </w:r>
      <w:r w:rsidR="0083594A">
        <w:rPr>
          <w:rFonts w:ascii="Aptos" w:hAnsi="Aptos" w:cstheme="minorHAnsi"/>
          <w:sz w:val="22"/>
          <w:szCs w:val="22"/>
        </w:rPr>
        <w:t xml:space="preserve">se 4.922.688,96 € odnosi na građevinsko zemljište na platou bivše koksare koje je  </w:t>
      </w:r>
      <w:r w:rsidR="0083594A" w:rsidRPr="0083594A">
        <w:rPr>
          <w:rFonts w:ascii="Aptos" w:hAnsi="Aptos" w:cstheme="minorHAnsi"/>
          <w:sz w:val="22"/>
          <w:szCs w:val="22"/>
        </w:rPr>
        <w:t xml:space="preserve">Republika Hrvatsko darovala Gradu Bakru Ugovorom o darovanju od 27. ožujka 2023. godine. </w:t>
      </w:r>
      <w:r w:rsidR="0083594A">
        <w:rPr>
          <w:rFonts w:ascii="Aptos" w:hAnsi="Aptos" w:cstheme="minorHAnsi"/>
          <w:sz w:val="22"/>
          <w:szCs w:val="22"/>
        </w:rPr>
        <w:t>U svrhu izgradnje komunalne infrastrukture otkupljeno je, darovano odnosno izvršeno prijenosa vlasništva zemljišta</w:t>
      </w:r>
      <w:r w:rsidR="00A12425">
        <w:rPr>
          <w:rFonts w:ascii="Aptos" w:hAnsi="Aptos" w:cstheme="minorHAnsi"/>
          <w:sz w:val="22"/>
          <w:szCs w:val="22"/>
        </w:rPr>
        <w:t xml:space="preserve"> u ukupnom iznosu od 319.499,12 €. </w:t>
      </w:r>
    </w:p>
    <w:p w14:paraId="0323DB64" w14:textId="4FF9000E" w:rsidR="0083594A" w:rsidRDefault="00A12425" w:rsidP="00EC6951">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U Registru nekretnina Grada Bakra utvrđena su zemljišta po pojedinim kategorijama: građevinsko zemljište darovano od Republike Hrvatske, građevinsko zemljište po pojedinim katastarskim općinama, građevinsko zemljište pod cestama, građevinsko zemljište pod objektima, ostala zemljišta po katastarskim općinama te poljoprivredna zemljišta po katastarskim općinama. Krajem godine provedeno je usklađenje s navedenim registrom i evidentiranje zemljišta koje nije bilo evidentirano u poslovnim knjigama </w:t>
      </w:r>
      <w:r w:rsidR="00EC6951">
        <w:rPr>
          <w:rFonts w:ascii="Aptos" w:hAnsi="Aptos" w:cstheme="minorHAnsi"/>
          <w:sz w:val="22"/>
          <w:szCs w:val="22"/>
        </w:rPr>
        <w:t xml:space="preserve">po kategorijama iz registra </w:t>
      </w:r>
      <w:r>
        <w:rPr>
          <w:rFonts w:ascii="Aptos" w:hAnsi="Aptos" w:cstheme="minorHAnsi"/>
          <w:sz w:val="22"/>
          <w:szCs w:val="22"/>
        </w:rPr>
        <w:t>u ukupnom iznosu od 7.306.707,29 €.</w:t>
      </w:r>
    </w:p>
    <w:p w14:paraId="522A4A94" w14:textId="44E98895" w:rsidR="00BC207E" w:rsidRPr="00BC207E" w:rsidRDefault="00BC207E" w:rsidP="00BC207E">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5</w:t>
      </w:r>
      <w:r w:rsidRPr="00F61B8D">
        <w:rPr>
          <w:rFonts w:ascii="Aptos" w:hAnsi="Aptos" w:cs="Calibri"/>
          <w:b/>
          <w:bCs/>
          <w:color w:val="000000"/>
          <w:sz w:val="22"/>
          <w:szCs w:val="22"/>
        </w:rPr>
        <w:t>.</w:t>
      </w:r>
    </w:p>
    <w:p w14:paraId="346D1D24" w14:textId="77777777"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012 - </w:t>
      </w:r>
      <w:proofErr w:type="spellStart"/>
      <w:r w:rsidRPr="00F61B8D">
        <w:rPr>
          <w:rFonts w:ascii="Aptos" w:hAnsi="Aptos" w:cstheme="minorHAnsi"/>
          <w:b/>
          <w:sz w:val="22"/>
          <w:szCs w:val="22"/>
        </w:rPr>
        <w:t>Nematerijalna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p>
    <w:p w14:paraId="75EC2415" w14:textId="437C3E87" w:rsidR="00EC6951" w:rsidRDefault="005E5645" w:rsidP="00966A1C">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Nabavna vrijednost nematerijalne imovine na kraju 202</w:t>
      </w:r>
      <w:r w:rsidR="00EC6951">
        <w:rPr>
          <w:rFonts w:ascii="Aptos" w:hAnsi="Aptos" w:cstheme="minorHAnsi"/>
          <w:sz w:val="22"/>
          <w:szCs w:val="22"/>
        </w:rPr>
        <w:t>3</w:t>
      </w:r>
      <w:r w:rsidRPr="00F61B8D">
        <w:rPr>
          <w:rFonts w:ascii="Aptos" w:hAnsi="Aptos" w:cstheme="minorHAnsi"/>
          <w:sz w:val="22"/>
          <w:szCs w:val="22"/>
        </w:rPr>
        <w:t xml:space="preserve">. godine iznosi </w:t>
      </w:r>
      <w:r w:rsidR="00EC6951">
        <w:rPr>
          <w:rFonts w:ascii="Aptos" w:hAnsi="Aptos" w:cstheme="minorHAnsi"/>
          <w:sz w:val="22"/>
          <w:szCs w:val="22"/>
        </w:rPr>
        <w:t>1.457.306,16 €</w:t>
      </w:r>
      <w:r w:rsidRPr="00F61B8D">
        <w:rPr>
          <w:rFonts w:ascii="Aptos" w:hAnsi="Aptos" w:cstheme="minorHAnsi"/>
          <w:sz w:val="22"/>
          <w:szCs w:val="22"/>
        </w:rPr>
        <w:t xml:space="preserve">.  U odnosu na </w:t>
      </w:r>
      <w:r w:rsidR="00EC6951">
        <w:rPr>
          <w:rFonts w:ascii="Aptos" w:hAnsi="Aptos" w:cstheme="minorHAnsi"/>
          <w:sz w:val="22"/>
          <w:szCs w:val="22"/>
        </w:rPr>
        <w:t>prošlogodišnje razdoblje vrijednost ove imovine</w:t>
      </w:r>
      <w:r w:rsidRPr="00F61B8D">
        <w:rPr>
          <w:rFonts w:ascii="Aptos" w:hAnsi="Aptos" w:cstheme="minorHAnsi"/>
          <w:sz w:val="22"/>
          <w:szCs w:val="22"/>
        </w:rPr>
        <w:t xml:space="preserve"> </w:t>
      </w:r>
      <w:r w:rsidR="00EC6951">
        <w:rPr>
          <w:rFonts w:ascii="Aptos" w:hAnsi="Aptos" w:cstheme="minorHAnsi"/>
          <w:sz w:val="22"/>
          <w:szCs w:val="22"/>
        </w:rPr>
        <w:t>veća je</w:t>
      </w:r>
      <w:r w:rsidRPr="00F61B8D">
        <w:rPr>
          <w:rFonts w:ascii="Aptos" w:hAnsi="Aptos" w:cstheme="minorHAnsi"/>
          <w:sz w:val="22"/>
          <w:szCs w:val="22"/>
        </w:rPr>
        <w:t xml:space="preserve"> za </w:t>
      </w:r>
      <w:r w:rsidR="00EC6951">
        <w:rPr>
          <w:rFonts w:ascii="Aptos" w:hAnsi="Aptos" w:cstheme="minorHAnsi"/>
          <w:sz w:val="22"/>
          <w:szCs w:val="22"/>
        </w:rPr>
        <w:t>19,6</w:t>
      </w:r>
      <w:r w:rsidRPr="00F61B8D">
        <w:rPr>
          <w:rFonts w:ascii="Aptos" w:hAnsi="Aptos" w:cstheme="minorHAnsi"/>
          <w:sz w:val="22"/>
          <w:szCs w:val="22"/>
        </w:rPr>
        <w:t>%</w:t>
      </w:r>
      <w:r w:rsidR="00690D8D">
        <w:rPr>
          <w:rFonts w:ascii="Aptos" w:hAnsi="Aptos" w:cstheme="minorHAnsi"/>
          <w:sz w:val="22"/>
          <w:szCs w:val="22"/>
        </w:rPr>
        <w:t xml:space="preserve"> odnosno za </w:t>
      </w:r>
      <w:r w:rsidR="00EC6951">
        <w:rPr>
          <w:rFonts w:ascii="Aptos" w:hAnsi="Aptos" w:cstheme="minorHAnsi"/>
          <w:sz w:val="22"/>
          <w:szCs w:val="22"/>
        </w:rPr>
        <w:t>238.367,6</w:t>
      </w:r>
      <w:r w:rsidR="00690D8D">
        <w:rPr>
          <w:rFonts w:ascii="Aptos" w:hAnsi="Aptos" w:cstheme="minorHAnsi"/>
          <w:sz w:val="22"/>
          <w:szCs w:val="22"/>
        </w:rPr>
        <w:t>5</w:t>
      </w:r>
      <w:r w:rsidR="00EC6951">
        <w:rPr>
          <w:rFonts w:ascii="Aptos" w:hAnsi="Aptos" w:cstheme="minorHAnsi"/>
          <w:sz w:val="22"/>
          <w:szCs w:val="22"/>
        </w:rPr>
        <w:t xml:space="preserve"> € radi financiranja rekonstrukcije županijske ceste kod PŠ </w:t>
      </w:r>
      <w:proofErr w:type="spellStart"/>
      <w:r w:rsidR="00EC6951">
        <w:rPr>
          <w:rFonts w:ascii="Aptos" w:hAnsi="Aptos" w:cstheme="minorHAnsi"/>
          <w:sz w:val="22"/>
          <w:szCs w:val="22"/>
        </w:rPr>
        <w:t>Praputnjak</w:t>
      </w:r>
      <w:proofErr w:type="spellEnd"/>
      <w:r w:rsidR="00EC6951">
        <w:rPr>
          <w:rFonts w:ascii="Aptos" w:hAnsi="Aptos" w:cstheme="minorHAnsi"/>
          <w:sz w:val="22"/>
          <w:szCs w:val="22"/>
        </w:rPr>
        <w:t>.</w:t>
      </w:r>
    </w:p>
    <w:p w14:paraId="6DF88CF0" w14:textId="552426B9"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6.</w:t>
      </w:r>
    </w:p>
    <w:p w14:paraId="00C317ED" w14:textId="77777777" w:rsidR="005E5645" w:rsidRPr="00F61B8D" w:rsidRDefault="005E5645" w:rsidP="00966A1C">
      <w:pPr>
        <w:pStyle w:val="Tijeloteksta-uvlaka3"/>
        <w:spacing w:before="60" w:after="60"/>
        <w:ind w:left="-426" w:firstLine="0"/>
        <w:rPr>
          <w:rFonts w:ascii="Aptos" w:hAnsi="Aptos"/>
          <w:b/>
          <w:i/>
          <w:iCs/>
          <w:sz w:val="22"/>
          <w:szCs w:val="22"/>
        </w:rPr>
      </w:pPr>
      <w:r w:rsidRPr="00F61B8D">
        <w:rPr>
          <w:rFonts w:ascii="Aptos" w:hAnsi="Aptos" w:cstheme="minorHAnsi"/>
          <w:b/>
          <w:sz w:val="22"/>
          <w:szCs w:val="22"/>
        </w:rPr>
        <w:t xml:space="preserve">ŠIFRA 019 - </w:t>
      </w:r>
      <w:proofErr w:type="spellStart"/>
      <w:r w:rsidRPr="00F61B8D">
        <w:rPr>
          <w:rFonts w:ascii="Aptos" w:hAnsi="Aptos" w:cstheme="minorHAnsi"/>
          <w:b/>
          <w:sz w:val="22"/>
          <w:szCs w:val="22"/>
        </w:rPr>
        <w:t>Ispravak</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vrijednosti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neproizvedene</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dugotrajne</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imovine</w:t>
      </w:r>
      <w:proofErr w:type="spellEnd"/>
    </w:p>
    <w:p w14:paraId="57799AAA" w14:textId="02D4FC41" w:rsidR="005E5645" w:rsidRPr="00690D8D" w:rsidRDefault="005E5645" w:rsidP="00966A1C">
      <w:pPr>
        <w:spacing w:before="60" w:after="60"/>
        <w:ind w:left="-425" w:right="-380" w:firstLine="284"/>
        <w:jc w:val="both"/>
        <w:rPr>
          <w:rFonts w:ascii="Aptos" w:hAnsi="Aptos" w:cstheme="minorHAnsi"/>
          <w:sz w:val="22"/>
          <w:szCs w:val="22"/>
        </w:rPr>
      </w:pPr>
      <w:r w:rsidRPr="00690D8D">
        <w:rPr>
          <w:rFonts w:ascii="Aptos" w:hAnsi="Aptos" w:cstheme="minorHAnsi"/>
          <w:sz w:val="22"/>
          <w:szCs w:val="22"/>
        </w:rPr>
        <w:t xml:space="preserve">Stanje ispravka vrijednosti </w:t>
      </w:r>
      <w:proofErr w:type="spellStart"/>
      <w:r w:rsidRPr="00690D8D">
        <w:rPr>
          <w:rFonts w:ascii="Aptos" w:hAnsi="Aptos" w:cstheme="minorHAnsi"/>
          <w:sz w:val="22"/>
          <w:szCs w:val="22"/>
        </w:rPr>
        <w:t>neproizvedene</w:t>
      </w:r>
      <w:proofErr w:type="spellEnd"/>
      <w:r w:rsidRPr="00690D8D">
        <w:rPr>
          <w:rFonts w:ascii="Aptos" w:hAnsi="Aptos" w:cstheme="minorHAnsi"/>
          <w:sz w:val="22"/>
          <w:szCs w:val="22"/>
        </w:rPr>
        <w:t xml:space="preserve"> dugotrajne materijalne imovine na kraju 202</w:t>
      </w:r>
      <w:r w:rsidR="00690D8D">
        <w:rPr>
          <w:rFonts w:ascii="Aptos" w:hAnsi="Aptos" w:cstheme="minorHAnsi"/>
          <w:sz w:val="22"/>
          <w:szCs w:val="22"/>
        </w:rPr>
        <w:t>3</w:t>
      </w:r>
      <w:r w:rsidRPr="00690D8D">
        <w:rPr>
          <w:rFonts w:ascii="Aptos" w:hAnsi="Aptos" w:cstheme="minorHAnsi"/>
          <w:sz w:val="22"/>
          <w:szCs w:val="22"/>
        </w:rPr>
        <w:t xml:space="preserve">. godine iznosi </w:t>
      </w:r>
      <w:r w:rsidR="00690D8D">
        <w:rPr>
          <w:rFonts w:ascii="Aptos" w:hAnsi="Aptos" w:cstheme="minorHAnsi"/>
          <w:sz w:val="22"/>
          <w:szCs w:val="22"/>
        </w:rPr>
        <w:t>182.056,69 €</w:t>
      </w:r>
      <w:r w:rsidRPr="00690D8D">
        <w:rPr>
          <w:rFonts w:ascii="Aptos" w:hAnsi="Aptos" w:cstheme="minorHAnsi"/>
          <w:sz w:val="22"/>
          <w:szCs w:val="22"/>
        </w:rPr>
        <w:t xml:space="preserve"> </w:t>
      </w:r>
      <w:r w:rsidR="00690D8D">
        <w:rPr>
          <w:rFonts w:ascii="Aptos" w:hAnsi="Aptos" w:cstheme="minorHAnsi"/>
          <w:sz w:val="22"/>
          <w:szCs w:val="22"/>
        </w:rPr>
        <w:t>primjenom</w:t>
      </w:r>
      <w:r w:rsidRPr="00690D8D">
        <w:rPr>
          <w:rFonts w:ascii="Aptos" w:hAnsi="Aptos" w:cstheme="minorHAnsi"/>
          <w:sz w:val="22"/>
          <w:szCs w:val="22"/>
        </w:rPr>
        <w:t xml:space="preserve"> linearn</w:t>
      </w:r>
      <w:r w:rsidR="00690D8D">
        <w:rPr>
          <w:rFonts w:ascii="Aptos" w:hAnsi="Aptos" w:cstheme="minorHAnsi"/>
          <w:sz w:val="22"/>
          <w:szCs w:val="22"/>
        </w:rPr>
        <w:t>e</w:t>
      </w:r>
      <w:r w:rsidRPr="00690D8D">
        <w:rPr>
          <w:rFonts w:ascii="Aptos" w:hAnsi="Aptos" w:cstheme="minorHAnsi"/>
          <w:sz w:val="22"/>
          <w:szCs w:val="22"/>
        </w:rPr>
        <w:t xml:space="preserve"> metod</w:t>
      </w:r>
      <w:r w:rsidR="00690D8D">
        <w:rPr>
          <w:rFonts w:ascii="Aptos" w:hAnsi="Aptos" w:cstheme="minorHAnsi"/>
          <w:sz w:val="22"/>
          <w:szCs w:val="22"/>
        </w:rPr>
        <w:t>e</w:t>
      </w:r>
      <w:r w:rsidRPr="00690D8D">
        <w:rPr>
          <w:rFonts w:ascii="Aptos" w:hAnsi="Aptos" w:cstheme="minorHAnsi"/>
          <w:sz w:val="22"/>
          <w:szCs w:val="22"/>
        </w:rPr>
        <w:t xml:space="preserve"> </w:t>
      </w:r>
      <w:r w:rsidR="00690D8D">
        <w:rPr>
          <w:rFonts w:ascii="Aptos" w:hAnsi="Aptos" w:cstheme="minorHAnsi"/>
          <w:sz w:val="22"/>
          <w:szCs w:val="22"/>
        </w:rPr>
        <w:t xml:space="preserve">i zakonskih </w:t>
      </w:r>
      <w:r w:rsidR="009118B7">
        <w:rPr>
          <w:rFonts w:ascii="Aptos" w:hAnsi="Aptos" w:cstheme="minorHAnsi"/>
          <w:sz w:val="22"/>
          <w:szCs w:val="22"/>
        </w:rPr>
        <w:t xml:space="preserve">amortizacijskih </w:t>
      </w:r>
      <w:r w:rsidR="00690D8D">
        <w:rPr>
          <w:rFonts w:ascii="Aptos" w:hAnsi="Aptos" w:cstheme="minorHAnsi"/>
          <w:sz w:val="22"/>
          <w:szCs w:val="22"/>
        </w:rPr>
        <w:t>stopa</w:t>
      </w:r>
      <w:r w:rsidR="009118B7">
        <w:rPr>
          <w:rFonts w:ascii="Aptos" w:hAnsi="Aptos" w:cstheme="minorHAnsi"/>
          <w:sz w:val="22"/>
          <w:szCs w:val="22"/>
        </w:rPr>
        <w:t>.</w:t>
      </w:r>
    </w:p>
    <w:p w14:paraId="46CD43EC" w14:textId="66EE7786"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lastRenderedPageBreak/>
        <w:t>Bilješka 7.</w:t>
      </w:r>
    </w:p>
    <w:p w14:paraId="6F2F551B" w14:textId="77777777"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021 - </w:t>
      </w:r>
      <w:proofErr w:type="spellStart"/>
      <w:r w:rsidRPr="00F61B8D">
        <w:rPr>
          <w:rFonts w:ascii="Aptos" w:hAnsi="Aptos" w:cstheme="minorHAnsi"/>
          <w:b/>
          <w:sz w:val="22"/>
          <w:szCs w:val="22"/>
        </w:rPr>
        <w:t>Građevinski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objekti</w:t>
      </w:r>
      <w:proofErr w:type="spellEnd"/>
    </w:p>
    <w:p w14:paraId="05E0E0F4" w14:textId="7D73D269" w:rsidR="005E5645" w:rsidRPr="00BC207E" w:rsidRDefault="005E5645" w:rsidP="00966A1C">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Ukupna vrijednost građevinskih objekata na dan 31.12.202</w:t>
      </w:r>
      <w:r w:rsidR="00B92AC9">
        <w:rPr>
          <w:rFonts w:ascii="Aptos" w:hAnsi="Aptos" w:cstheme="minorHAnsi"/>
          <w:sz w:val="22"/>
          <w:szCs w:val="22"/>
        </w:rPr>
        <w:t>3</w:t>
      </w:r>
      <w:r w:rsidRPr="00F61B8D">
        <w:rPr>
          <w:rFonts w:ascii="Aptos" w:hAnsi="Aptos" w:cstheme="minorHAnsi"/>
          <w:sz w:val="22"/>
          <w:szCs w:val="22"/>
        </w:rPr>
        <w:t xml:space="preserve">. godine iznosi </w:t>
      </w:r>
      <w:r w:rsidR="00BC207E" w:rsidRPr="00BC207E">
        <w:rPr>
          <w:rFonts w:ascii="Aptos" w:hAnsi="Aptos" w:cstheme="minorHAnsi"/>
          <w:sz w:val="22"/>
          <w:szCs w:val="22"/>
        </w:rPr>
        <w:t>33.351.115,14 €</w:t>
      </w:r>
      <w:r w:rsidRPr="00F61B8D">
        <w:rPr>
          <w:rFonts w:ascii="Aptos" w:hAnsi="Aptos" w:cstheme="minorHAnsi"/>
          <w:sz w:val="22"/>
          <w:szCs w:val="22"/>
        </w:rPr>
        <w:t xml:space="preserve">, što </w:t>
      </w:r>
      <w:r w:rsidRPr="00BC207E">
        <w:rPr>
          <w:rFonts w:ascii="Aptos" w:hAnsi="Aptos" w:cstheme="minorHAnsi"/>
          <w:sz w:val="22"/>
          <w:szCs w:val="22"/>
        </w:rPr>
        <w:t xml:space="preserve">je za </w:t>
      </w:r>
      <w:r w:rsidR="00BC207E" w:rsidRPr="00BC207E">
        <w:rPr>
          <w:rFonts w:ascii="Aptos" w:hAnsi="Aptos" w:cstheme="minorHAnsi"/>
          <w:sz w:val="22"/>
          <w:szCs w:val="22"/>
        </w:rPr>
        <w:t>0,2</w:t>
      </w:r>
      <w:r w:rsidRPr="00BC207E">
        <w:rPr>
          <w:rFonts w:ascii="Aptos" w:hAnsi="Aptos" w:cstheme="minorHAnsi"/>
          <w:sz w:val="22"/>
          <w:szCs w:val="22"/>
        </w:rPr>
        <w:t>% manje u odnosu na vrijednost građevinskih objekata u 202</w:t>
      </w:r>
      <w:r w:rsidR="00BC207E" w:rsidRPr="00BC207E">
        <w:rPr>
          <w:rFonts w:ascii="Aptos" w:hAnsi="Aptos" w:cstheme="minorHAnsi"/>
          <w:sz w:val="22"/>
          <w:szCs w:val="22"/>
        </w:rPr>
        <w:t>2</w:t>
      </w:r>
      <w:r w:rsidRPr="00BC207E">
        <w:rPr>
          <w:rFonts w:ascii="Aptos" w:hAnsi="Aptos" w:cstheme="minorHAnsi"/>
          <w:sz w:val="22"/>
          <w:szCs w:val="22"/>
        </w:rPr>
        <w:t xml:space="preserve">. godini.  </w:t>
      </w:r>
    </w:p>
    <w:p w14:paraId="1F2292BC" w14:textId="1017EFF0" w:rsidR="005E5645" w:rsidRPr="00F61B8D" w:rsidRDefault="005E5645" w:rsidP="00966A1C">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Evidentirana nabavna vrijednost građevinskih objekata odnosi se na</w:t>
      </w:r>
      <w:r w:rsidR="00B92AC9">
        <w:rPr>
          <w:rFonts w:ascii="Aptos" w:hAnsi="Aptos" w:cstheme="minorHAnsi"/>
          <w:sz w:val="22"/>
          <w:szCs w:val="22"/>
        </w:rPr>
        <w:t xml:space="preserve"> vrijednost</w:t>
      </w:r>
      <w:r w:rsidRPr="00F61B8D">
        <w:rPr>
          <w:rFonts w:ascii="Aptos" w:hAnsi="Aptos" w:cstheme="minorHAnsi"/>
          <w:sz w:val="22"/>
          <w:szCs w:val="22"/>
        </w:rPr>
        <w:t>:</w:t>
      </w:r>
    </w:p>
    <w:p w14:paraId="0C640294" w14:textId="51AAA3E4" w:rsidR="005E5645" w:rsidRPr="00F61B8D" w:rsidRDefault="005E5645" w:rsidP="00966A1C">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stambeni</w:t>
      </w:r>
      <w:r w:rsidR="00B92AC9">
        <w:rPr>
          <w:rFonts w:ascii="Aptos" w:hAnsi="Aptos" w:cstheme="minorHAnsi"/>
          <w:sz w:val="22"/>
          <w:szCs w:val="22"/>
        </w:rPr>
        <w:t>h</w:t>
      </w:r>
      <w:r w:rsidRPr="00F61B8D">
        <w:rPr>
          <w:rFonts w:ascii="Aptos" w:hAnsi="Aptos" w:cstheme="minorHAnsi"/>
          <w:sz w:val="22"/>
          <w:szCs w:val="22"/>
        </w:rPr>
        <w:t xml:space="preserve"> objek</w:t>
      </w:r>
      <w:r w:rsidR="00B92AC9">
        <w:rPr>
          <w:rFonts w:ascii="Aptos" w:hAnsi="Aptos" w:cstheme="minorHAnsi"/>
          <w:sz w:val="22"/>
          <w:szCs w:val="22"/>
        </w:rPr>
        <w:t>ata od 927.126,11 €</w:t>
      </w:r>
      <w:r w:rsidRPr="00F61B8D">
        <w:rPr>
          <w:rFonts w:ascii="Aptos" w:hAnsi="Aptos" w:cstheme="minorHAnsi"/>
          <w:sz w:val="22"/>
          <w:szCs w:val="22"/>
        </w:rPr>
        <w:t xml:space="preserve"> odnosno na istoj razini u odnosu na 202</w:t>
      </w:r>
      <w:r w:rsidR="00B92AC9">
        <w:rPr>
          <w:rFonts w:ascii="Aptos" w:hAnsi="Aptos" w:cstheme="minorHAnsi"/>
          <w:sz w:val="22"/>
          <w:szCs w:val="22"/>
        </w:rPr>
        <w:t>2</w:t>
      </w:r>
      <w:r w:rsidRPr="00F61B8D">
        <w:rPr>
          <w:rFonts w:ascii="Aptos" w:hAnsi="Aptos" w:cstheme="minorHAnsi"/>
          <w:sz w:val="22"/>
          <w:szCs w:val="22"/>
        </w:rPr>
        <w:t>. godinu</w:t>
      </w:r>
    </w:p>
    <w:p w14:paraId="73C397CB" w14:textId="1A5E35E6" w:rsidR="005E5645" w:rsidRPr="00F61B8D" w:rsidRDefault="005E5645" w:rsidP="00966A1C">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poslovni</w:t>
      </w:r>
      <w:r w:rsidR="00B92AC9">
        <w:rPr>
          <w:rFonts w:ascii="Aptos" w:hAnsi="Aptos" w:cstheme="minorHAnsi"/>
          <w:sz w:val="22"/>
          <w:szCs w:val="22"/>
        </w:rPr>
        <w:t xml:space="preserve">h </w:t>
      </w:r>
      <w:r w:rsidRPr="00F61B8D">
        <w:rPr>
          <w:rFonts w:ascii="Aptos" w:hAnsi="Aptos" w:cstheme="minorHAnsi"/>
          <w:sz w:val="22"/>
          <w:szCs w:val="22"/>
        </w:rPr>
        <w:t>objek</w:t>
      </w:r>
      <w:r w:rsidR="00B92AC9">
        <w:rPr>
          <w:rFonts w:ascii="Aptos" w:hAnsi="Aptos" w:cstheme="minorHAnsi"/>
          <w:sz w:val="22"/>
          <w:szCs w:val="22"/>
        </w:rPr>
        <w:t>ata od 18.046.067,62 € ili za 2,6%</w:t>
      </w:r>
      <w:r w:rsidRPr="00F61B8D">
        <w:rPr>
          <w:rFonts w:ascii="Aptos" w:hAnsi="Aptos" w:cstheme="minorHAnsi"/>
          <w:sz w:val="22"/>
          <w:szCs w:val="22"/>
        </w:rPr>
        <w:t xml:space="preserve"> više u odnosu na 202</w:t>
      </w:r>
      <w:r w:rsidR="00B92AC9">
        <w:rPr>
          <w:rFonts w:ascii="Aptos" w:hAnsi="Aptos" w:cstheme="minorHAnsi"/>
          <w:sz w:val="22"/>
          <w:szCs w:val="22"/>
        </w:rPr>
        <w:t>2</w:t>
      </w:r>
      <w:r w:rsidRPr="00F61B8D">
        <w:rPr>
          <w:rFonts w:ascii="Aptos" w:hAnsi="Aptos" w:cstheme="minorHAnsi"/>
          <w:sz w:val="22"/>
          <w:szCs w:val="22"/>
        </w:rPr>
        <w:t>. godin</w:t>
      </w:r>
      <w:r w:rsidR="00B92AC9">
        <w:rPr>
          <w:rFonts w:ascii="Aptos" w:hAnsi="Aptos" w:cstheme="minorHAnsi"/>
          <w:sz w:val="22"/>
          <w:szCs w:val="22"/>
        </w:rPr>
        <w:t>u</w:t>
      </w:r>
    </w:p>
    <w:p w14:paraId="31A33125" w14:textId="20964FEA" w:rsidR="005E5645" w:rsidRPr="00F61B8D" w:rsidRDefault="005E5645" w:rsidP="00966A1C">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cest</w:t>
      </w:r>
      <w:r w:rsidR="00B92AC9">
        <w:rPr>
          <w:rFonts w:ascii="Aptos" w:hAnsi="Aptos" w:cstheme="minorHAnsi"/>
          <w:sz w:val="22"/>
          <w:szCs w:val="22"/>
        </w:rPr>
        <w:t>a</w:t>
      </w:r>
      <w:r w:rsidRPr="00F61B8D">
        <w:rPr>
          <w:rFonts w:ascii="Aptos" w:hAnsi="Aptos" w:cstheme="minorHAnsi"/>
          <w:sz w:val="22"/>
          <w:szCs w:val="22"/>
        </w:rPr>
        <w:t xml:space="preserve"> i ostali</w:t>
      </w:r>
      <w:r w:rsidR="00B92AC9">
        <w:rPr>
          <w:rFonts w:ascii="Aptos" w:hAnsi="Aptos" w:cstheme="minorHAnsi"/>
          <w:sz w:val="22"/>
          <w:szCs w:val="22"/>
        </w:rPr>
        <w:t>h</w:t>
      </w:r>
      <w:r w:rsidRPr="00F61B8D">
        <w:rPr>
          <w:rFonts w:ascii="Aptos" w:hAnsi="Aptos" w:cstheme="minorHAnsi"/>
          <w:sz w:val="22"/>
          <w:szCs w:val="22"/>
        </w:rPr>
        <w:t xml:space="preserve"> prometni</w:t>
      </w:r>
      <w:r w:rsidR="00B92AC9">
        <w:rPr>
          <w:rFonts w:ascii="Aptos" w:hAnsi="Aptos" w:cstheme="minorHAnsi"/>
          <w:sz w:val="22"/>
          <w:szCs w:val="22"/>
        </w:rPr>
        <w:t>h</w:t>
      </w:r>
      <w:r w:rsidRPr="00F61B8D">
        <w:rPr>
          <w:rFonts w:ascii="Aptos" w:hAnsi="Aptos" w:cstheme="minorHAnsi"/>
          <w:sz w:val="22"/>
          <w:szCs w:val="22"/>
        </w:rPr>
        <w:t xml:space="preserve"> objek</w:t>
      </w:r>
      <w:r w:rsidR="00B92AC9">
        <w:rPr>
          <w:rFonts w:ascii="Aptos" w:hAnsi="Aptos" w:cstheme="minorHAnsi"/>
          <w:sz w:val="22"/>
          <w:szCs w:val="22"/>
        </w:rPr>
        <w:t xml:space="preserve">ata od 26.177.260,50 € ili za 1,6% više nego prošle godine </w:t>
      </w:r>
    </w:p>
    <w:p w14:paraId="5CA12F95" w14:textId="05A7E941" w:rsidR="005E5645" w:rsidRPr="00F61B8D" w:rsidRDefault="005E5645" w:rsidP="00966A1C">
      <w:pPr>
        <w:pStyle w:val="Odlomakpopisa"/>
        <w:numPr>
          <w:ilvl w:val="0"/>
          <w:numId w:val="12"/>
        </w:numPr>
        <w:spacing w:before="60" w:after="60"/>
        <w:ind w:left="0" w:right="-380" w:hanging="284"/>
        <w:contextualSpacing w:val="0"/>
        <w:jc w:val="both"/>
        <w:rPr>
          <w:rFonts w:ascii="Aptos" w:hAnsi="Aptos" w:cstheme="minorHAnsi"/>
          <w:sz w:val="22"/>
          <w:szCs w:val="22"/>
        </w:rPr>
      </w:pPr>
      <w:r w:rsidRPr="00F61B8D">
        <w:rPr>
          <w:rFonts w:ascii="Aptos" w:hAnsi="Aptos" w:cstheme="minorHAnsi"/>
          <w:sz w:val="22"/>
          <w:szCs w:val="22"/>
        </w:rPr>
        <w:t>ostali</w:t>
      </w:r>
      <w:r w:rsidR="00B92AC9">
        <w:rPr>
          <w:rFonts w:ascii="Aptos" w:hAnsi="Aptos" w:cstheme="minorHAnsi"/>
          <w:sz w:val="22"/>
          <w:szCs w:val="22"/>
        </w:rPr>
        <w:t>h</w:t>
      </w:r>
      <w:r w:rsidRPr="00F61B8D">
        <w:rPr>
          <w:rFonts w:ascii="Aptos" w:hAnsi="Aptos" w:cstheme="minorHAnsi"/>
          <w:sz w:val="22"/>
          <w:szCs w:val="22"/>
        </w:rPr>
        <w:t xml:space="preserve"> građevinski</w:t>
      </w:r>
      <w:r w:rsidR="00B92AC9">
        <w:rPr>
          <w:rFonts w:ascii="Aptos" w:hAnsi="Aptos" w:cstheme="minorHAnsi"/>
          <w:sz w:val="22"/>
          <w:szCs w:val="22"/>
        </w:rPr>
        <w:t xml:space="preserve">h </w:t>
      </w:r>
      <w:r w:rsidRPr="00F61B8D">
        <w:rPr>
          <w:rFonts w:ascii="Aptos" w:hAnsi="Aptos" w:cstheme="minorHAnsi"/>
          <w:sz w:val="22"/>
          <w:szCs w:val="22"/>
        </w:rPr>
        <w:t>objek</w:t>
      </w:r>
      <w:r w:rsidR="00B92AC9">
        <w:rPr>
          <w:rFonts w:ascii="Aptos" w:hAnsi="Aptos" w:cstheme="minorHAnsi"/>
          <w:sz w:val="22"/>
          <w:szCs w:val="22"/>
        </w:rPr>
        <w:t xml:space="preserve">ata od </w:t>
      </w:r>
      <w:r w:rsidRPr="00F61B8D">
        <w:rPr>
          <w:rFonts w:ascii="Aptos" w:hAnsi="Aptos" w:cstheme="minorHAnsi"/>
          <w:sz w:val="22"/>
          <w:szCs w:val="22"/>
        </w:rPr>
        <w:t xml:space="preserve"> </w:t>
      </w:r>
      <w:r w:rsidR="00B92AC9">
        <w:rPr>
          <w:rFonts w:ascii="Aptos" w:hAnsi="Aptos" w:cstheme="minorHAnsi"/>
          <w:sz w:val="22"/>
          <w:szCs w:val="22"/>
        </w:rPr>
        <w:t>8.802.722,35 €</w:t>
      </w:r>
      <w:r w:rsidRPr="00F61B8D">
        <w:rPr>
          <w:rFonts w:ascii="Aptos" w:hAnsi="Aptos" w:cstheme="minorHAnsi"/>
          <w:sz w:val="22"/>
          <w:szCs w:val="22"/>
        </w:rPr>
        <w:t xml:space="preserve"> ili </w:t>
      </w:r>
      <w:r w:rsidR="00B92AC9">
        <w:rPr>
          <w:rFonts w:ascii="Aptos" w:hAnsi="Aptos" w:cstheme="minorHAnsi"/>
          <w:sz w:val="22"/>
          <w:szCs w:val="22"/>
        </w:rPr>
        <w:t>7,7</w:t>
      </w:r>
      <w:r w:rsidRPr="00F61B8D">
        <w:rPr>
          <w:rFonts w:ascii="Aptos" w:hAnsi="Aptos" w:cstheme="minorHAnsi"/>
          <w:sz w:val="22"/>
          <w:szCs w:val="22"/>
        </w:rPr>
        <w:t xml:space="preserve">% više u odnosu na </w:t>
      </w:r>
      <w:r w:rsidR="00B92AC9">
        <w:rPr>
          <w:rFonts w:ascii="Aptos" w:hAnsi="Aptos" w:cstheme="minorHAnsi"/>
          <w:sz w:val="22"/>
          <w:szCs w:val="22"/>
        </w:rPr>
        <w:t>prošlu godinu</w:t>
      </w:r>
      <w:r w:rsidRPr="00F61B8D">
        <w:rPr>
          <w:rFonts w:ascii="Aptos" w:hAnsi="Aptos" w:cstheme="minorHAnsi"/>
          <w:sz w:val="22"/>
          <w:szCs w:val="22"/>
        </w:rPr>
        <w:t>.</w:t>
      </w:r>
    </w:p>
    <w:p w14:paraId="2EAB4A7C" w14:textId="58F5EEEF" w:rsidR="005E5645" w:rsidRDefault="003C3102" w:rsidP="00966A1C">
      <w:pPr>
        <w:spacing w:before="60" w:after="60"/>
        <w:ind w:left="-425" w:right="-380" w:firstLine="284"/>
        <w:jc w:val="both"/>
        <w:rPr>
          <w:rFonts w:ascii="Aptos" w:hAnsi="Aptos" w:cstheme="minorHAnsi"/>
          <w:sz w:val="22"/>
          <w:szCs w:val="22"/>
        </w:rPr>
      </w:pPr>
      <w:r>
        <w:rPr>
          <w:rFonts w:ascii="Aptos" w:hAnsi="Aptos" w:cstheme="minorHAnsi"/>
          <w:sz w:val="22"/>
          <w:szCs w:val="22"/>
        </w:rPr>
        <w:t>S</w:t>
      </w:r>
      <w:r w:rsidR="005E5645" w:rsidRPr="00F61B8D">
        <w:rPr>
          <w:rFonts w:ascii="Aptos" w:hAnsi="Aptos" w:cstheme="minorHAnsi"/>
          <w:sz w:val="22"/>
          <w:szCs w:val="22"/>
        </w:rPr>
        <w:t>ukladno programima i projektima  planiranim u Proračunu Grada Bakra za 202</w:t>
      </w:r>
      <w:r w:rsidR="00B92AC9">
        <w:rPr>
          <w:rFonts w:ascii="Aptos" w:hAnsi="Aptos" w:cstheme="minorHAnsi"/>
          <w:sz w:val="22"/>
          <w:szCs w:val="22"/>
        </w:rPr>
        <w:t>3</w:t>
      </w:r>
      <w:r w:rsidR="005E5645" w:rsidRPr="00F61B8D">
        <w:rPr>
          <w:rFonts w:ascii="Aptos" w:hAnsi="Aptos" w:cstheme="minorHAnsi"/>
          <w:sz w:val="22"/>
          <w:szCs w:val="22"/>
        </w:rPr>
        <w:t>. godinu</w:t>
      </w:r>
      <w:r>
        <w:rPr>
          <w:rFonts w:ascii="Aptos" w:hAnsi="Aptos" w:cstheme="minorHAnsi"/>
          <w:sz w:val="22"/>
          <w:szCs w:val="22"/>
        </w:rPr>
        <w:t xml:space="preserve"> realizirano je </w:t>
      </w:r>
      <w:r w:rsidR="00B504B5">
        <w:rPr>
          <w:rFonts w:ascii="Aptos" w:hAnsi="Aptos" w:cstheme="minorHAnsi"/>
          <w:sz w:val="22"/>
          <w:szCs w:val="22"/>
        </w:rPr>
        <w:t xml:space="preserve">ulaganja u građevinske objekte u iznosu od </w:t>
      </w:r>
      <w:r>
        <w:rPr>
          <w:rFonts w:ascii="Aptos" w:hAnsi="Aptos" w:cstheme="minorHAnsi"/>
          <w:sz w:val="22"/>
          <w:szCs w:val="22"/>
        </w:rPr>
        <w:t>245.602,61 €</w:t>
      </w:r>
      <w:r w:rsidR="00B504B5">
        <w:rPr>
          <w:rFonts w:ascii="Aptos" w:hAnsi="Aptos" w:cstheme="minorHAnsi"/>
          <w:sz w:val="22"/>
          <w:szCs w:val="22"/>
        </w:rPr>
        <w:t xml:space="preserve">, i to u groblja Kukuljanovo, Škrljevo i </w:t>
      </w:r>
      <w:proofErr w:type="spellStart"/>
      <w:r w:rsidR="00B504B5">
        <w:rPr>
          <w:rFonts w:ascii="Aptos" w:hAnsi="Aptos" w:cstheme="minorHAnsi"/>
          <w:sz w:val="22"/>
          <w:szCs w:val="22"/>
        </w:rPr>
        <w:t>Krasica</w:t>
      </w:r>
      <w:proofErr w:type="spellEnd"/>
      <w:r w:rsidR="00B504B5">
        <w:rPr>
          <w:rFonts w:ascii="Aptos" w:hAnsi="Aptos" w:cstheme="minorHAnsi"/>
          <w:sz w:val="22"/>
          <w:szCs w:val="22"/>
        </w:rPr>
        <w:t>, rekonstrukciju tunere kod crkve Sv. Margarete u Bakru, proširenje javne rasvjete, autobusne čekaonice, dječja igrališta, Kaštel u Bakru, domove kulture i ostale gradske objekte i prostore.</w:t>
      </w:r>
    </w:p>
    <w:p w14:paraId="4C84596F" w14:textId="0534599F" w:rsidR="003C3102" w:rsidRDefault="00B504B5" w:rsidP="00BC207E">
      <w:pPr>
        <w:spacing w:before="60" w:after="60"/>
        <w:ind w:left="-425" w:right="-380" w:firstLine="284"/>
        <w:jc w:val="both"/>
        <w:rPr>
          <w:rFonts w:ascii="Aptos" w:hAnsi="Aptos" w:cstheme="minorHAnsi"/>
          <w:sz w:val="22"/>
          <w:szCs w:val="22"/>
        </w:rPr>
      </w:pPr>
      <w:r w:rsidRPr="00B504B5">
        <w:rPr>
          <w:rFonts w:ascii="Aptos" w:hAnsi="Aptos" w:cstheme="minorHAnsi"/>
          <w:sz w:val="22"/>
          <w:szCs w:val="22"/>
        </w:rPr>
        <w:t xml:space="preserve">Nakon nabave </w:t>
      </w:r>
      <w:r w:rsidR="00513958">
        <w:rPr>
          <w:rFonts w:ascii="Aptos" w:hAnsi="Aptos" w:cstheme="minorHAnsi"/>
          <w:sz w:val="22"/>
          <w:szCs w:val="22"/>
        </w:rPr>
        <w:t>građevinskih objekata</w:t>
      </w:r>
      <w:r w:rsidRPr="00B504B5">
        <w:rPr>
          <w:rFonts w:ascii="Aptos" w:hAnsi="Aptos" w:cstheme="minorHAnsi"/>
          <w:sz w:val="22"/>
          <w:szCs w:val="22"/>
        </w:rPr>
        <w:t xml:space="preserve"> i po okončanju investicije</w:t>
      </w:r>
      <w:r w:rsidR="00513958">
        <w:rPr>
          <w:rFonts w:ascii="Aptos" w:hAnsi="Aptos" w:cstheme="minorHAnsi"/>
          <w:sz w:val="22"/>
          <w:szCs w:val="22"/>
        </w:rPr>
        <w:t xml:space="preserve"> izvršen je prijenos građevinskih objekata u pripremi na građevinske objekte u upotrebi u iznosu od 1</w:t>
      </w:r>
      <w:r w:rsidR="00152895">
        <w:rPr>
          <w:rFonts w:ascii="Aptos" w:hAnsi="Aptos" w:cstheme="minorHAnsi"/>
          <w:sz w:val="22"/>
          <w:szCs w:val="22"/>
        </w:rPr>
        <w:t>.438.351,27</w:t>
      </w:r>
      <w:r w:rsidR="00513958">
        <w:rPr>
          <w:rFonts w:ascii="Aptos" w:hAnsi="Aptos" w:cstheme="minorHAnsi"/>
          <w:sz w:val="22"/>
          <w:szCs w:val="22"/>
        </w:rPr>
        <w:t xml:space="preserve"> €, i to: </w:t>
      </w:r>
      <w:r w:rsidR="00513958" w:rsidRPr="003C3102">
        <w:rPr>
          <w:rFonts w:ascii="Aptos" w:hAnsi="Aptos" w:cstheme="minorHAnsi"/>
          <w:sz w:val="22"/>
          <w:szCs w:val="22"/>
        </w:rPr>
        <w:t>Etno kuće Marohnić</w:t>
      </w:r>
      <w:r w:rsidR="00513958" w:rsidRPr="00513958">
        <w:rPr>
          <w:rFonts w:ascii="Aptos" w:hAnsi="Aptos" w:cstheme="minorHAnsi"/>
          <w:sz w:val="22"/>
          <w:szCs w:val="22"/>
        </w:rPr>
        <w:t xml:space="preserve">, projektne dokumentacije i izgrađene </w:t>
      </w:r>
      <w:r w:rsidR="00513958" w:rsidRPr="003C3102">
        <w:rPr>
          <w:rFonts w:ascii="Aptos" w:hAnsi="Aptos" w:cstheme="minorHAnsi"/>
          <w:sz w:val="22"/>
          <w:szCs w:val="22"/>
        </w:rPr>
        <w:t xml:space="preserve">ceste na platou A6  </w:t>
      </w:r>
      <w:r w:rsidR="00513958" w:rsidRPr="00513958">
        <w:rPr>
          <w:rFonts w:ascii="Aptos" w:hAnsi="Aptos" w:cstheme="minorHAnsi"/>
          <w:sz w:val="22"/>
          <w:szCs w:val="22"/>
        </w:rPr>
        <w:t xml:space="preserve">u Industrijskoj zoni Kukuljanovo, </w:t>
      </w:r>
      <w:r w:rsidR="00513958" w:rsidRPr="003C3102">
        <w:rPr>
          <w:rFonts w:ascii="Aptos" w:hAnsi="Aptos" w:cstheme="minorHAnsi"/>
          <w:sz w:val="22"/>
          <w:szCs w:val="22"/>
        </w:rPr>
        <w:t>javne rasvjete ceste Z2</w:t>
      </w:r>
      <w:r w:rsidR="00513958" w:rsidRPr="00513958">
        <w:rPr>
          <w:rFonts w:ascii="Aptos" w:hAnsi="Aptos" w:cstheme="minorHAnsi"/>
          <w:sz w:val="22"/>
          <w:szCs w:val="22"/>
        </w:rPr>
        <w:t>-</w:t>
      </w:r>
      <w:r w:rsidR="00513958" w:rsidRPr="003C3102">
        <w:rPr>
          <w:rFonts w:ascii="Aptos" w:hAnsi="Aptos" w:cstheme="minorHAnsi"/>
          <w:sz w:val="22"/>
          <w:szCs w:val="22"/>
        </w:rPr>
        <w:t>Z</w:t>
      </w:r>
      <w:r w:rsidR="00513958" w:rsidRPr="00513958">
        <w:rPr>
          <w:rFonts w:ascii="Aptos" w:hAnsi="Aptos" w:cstheme="minorHAnsi"/>
          <w:sz w:val="22"/>
          <w:szCs w:val="22"/>
        </w:rPr>
        <w:t xml:space="preserve">6, parka </w:t>
      </w:r>
      <w:proofErr w:type="spellStart"/>
      <w:r w:rsidR="00513958" w:rsidRPr="00513958">
        <w:rPr>
          <w:rFonts w:ascii="Aptos" w:hAnsi="Aptos" w:cstheme="minorHAnsi"/>
          <w:sz w:val="22"/>
          <w:szCs w:val="22"/>
        </w:rPr>
        <w:t>Banj</w:t>
      </w:r>
      <w:proofErr w:type="spellEnd"/>
      <w:r w:rsidR="00513958" w:rsidRPr="00513958">
        <w:rPr>
          <w:rFonts w:ascii="Aptos" w:hAnsi="Aptos" w:cstheme="minorHAnsi"/>
          <w:sz w:val="22"/>
          <w:szCs w:val="22"/>
        </w:rPr>
        <w:t xml:space="preserve"> u Bakru, </w:t>
      </w:r>
      <w:r w:rsidR="00513958" w:rsidRPr="003C3102">
        <w:rPr>
          <w:rFonts w:ascii="Aptos" w:hAnsi="Aptos" w:cstheme="minorHAnsi"/>
          <w:sz w:val="22"/>
          <w:szCs w:val="22"/>
        </w:rPr>
        <w:t xml:space="preserve">3D </w:t>
      </w:r>
      <w:proofErr w:type="spellStart"/>
      <w:r w:rsidR="00513958" w:rsidRPr="003C3102">
        <w:rPr>
          <w:rFonts w:ascii="Aptos" w:hAnsi="Aptos" w:cstheme="minorHAnsi"/>
          <w:sz w:val="22"/>
          <w:szCs w:val="22"/>
        </w:rPr>
        <w:t>mikroskeniranja</w:t>
      </w:r>
      <w:proofErr w:type="spellEnd"/>
      <w:r w:rsidR="00513958" w:rsidRPr="00513958">
        <w:rPr>
          <w:rFonts w:ascii="Aptos" w:hAnsi="Aptos" w:cstheme="minorHAnsi"/>
          <w:sz w:val="22"/>
          <w:szCs w:val="22"/>
        </w:rPr>
        <w:t xml:space="preserve"> u Kaštelu Bakar te projektne dokumentacije i nabavljene </w:t>
      </w:r>
      <w:proofErr w:type="spellStart"/>
      <w:r w:rsidR="00513958" w:rsidRPr="003C3102">
        <w:rPr>
          <w:rFonts w:ascii="Aptos" w:hAnsi="Aptos" w:cstheme="minorHAnsi"/>
          <w:sz w:val="22"/>
          <w:szCs w:val="22"/>
        </w:rPr>
        <w:t>poluukopane</w:t>
      </w:r>
      <w:proofErr w:type="spellEnd"/>
      <w:r w:rsidR="00513958" w:rsidRPr="003C3102">
        <w:rPr>
          <w:rFonts w:ascii="Aptos" w:hAnsi="Aptos" w:cstheme="minorHAnsi"/>
          <w:sz w:val="22"/>
          <w:szCs w:val="22"/>
        </w:rPr>
        <w:t xml:space="preserve"> spremnike</w:t>
      </w:r>
      <w:r w:rsidR="00513958" w:rsidRPr="00513958">
        <w:rPr>
          <w:rFonts w:ascii="Aptos" w:hAnsi="Aptos" w:cstheme="minorHAnsi"/>
          <w:sz w:val="22"/>
          <w:szCs w:val="22"/>
        </w:rPr>
        <w:t xml:space="preserve"> za odvajanje otpada.</w:t>
      </w:r>
    </w:p>
    <w:p w14:paraId="112EC973" w14:textId="6F9339EB"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8.</w:t>
      </w:r>
    </w:p>
    <w:p w14:paraId="6CF00DC3" w14:textId="22BB9423"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02921 - </w:t>
      </w:r>
      <w:proofErr w:type="spellStart"/>
      <w:r w:rsidRPr="00F61B8D">
        <w:rPr>
          <w:rFonts w:ascii="Aptos" w:hAnsi="Aptos" w:cstheme="minorHAnsi"/>
          <w:b/>
          <w:sz w:val="22"/>
          <w:szCs w:val="22"/>
        </w:rPr>
        <w:t>Ispravak</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vrijednosti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građevinskih</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objekata</w:t>
      </w:r>
      <w:proofErr w:type="spellEnd"/>
    </w:p>
    <w:p w14:paraId="2AEDB0A8" w14:textId="543C2001" w:rsidR="00BC207E" w:rsidRPr="00BC207E" w:rsidRDefault="00BC207E" w:rsidP="00F61B8D">
      <w:pPr>
        <w:spacing w:before="60" w:after="60"/>
        <w:ind w:left="-425" w:right="-380" w:firstLine="284"/>
        <w:jc w:val="both"/>
        <w:rPr>
          <w:rFonts w:ascii="Aptos" w:hAnsi="Aptos" w:cstheme="minorHAnsi"/>
          <w:sz w:val="22"/>
          <w:szCs w:val="22"/>
        </w:rPr>
      </w:pPr>
      <w:r w:rsidRPr="00BC207E">
        <w:rPr>
          <w:rFonts w:ascii="Aptos" w:hAnsi="Aptos" w:cstheme="minorHAnsi"/>
          <w:sz w:val="22"/>
          <w:szCs w:val="22"/>
        </w:rPr>
        <w:t>V</w:t>
      </w:r>
      <w:r w:rsidR="005E5645" w:rsidRPr="00BC207E">
        <w:rPr>
          <w:rFonts w:ascii="Aptos" w:hAnsi="Aptos" w:cstheme="minorHAnsi"/>
          <w:sz w:val="22"/>
          <w:szCs w:val="22"/>
        </w:rPr>
        <w:t>rijednost građevinskih objekata u 202</w:t>
      </w:r>
      <w:r w:rsidRPr="00BC207E">
        <w:rPr>
          <w:rFonts w:ascii="Aptos" w:hAnsi="Aptos" w:cstheme="minorHAnsi"/>
          <w:sz w:val="22"/>
          <w:szCs w:val="22"/>
        </w:rPr>
        <w:t>3</w:t>
      </w:r>
      <w:r w:rsidR="005E5645" w:rsidRPr="00BC207E">
        <w:rPr>
          <w:rFonts w:ascii="Aptos" w:hAnsi="Aptos" w:cstheme="minorHAnsi"/>
          <w:sz w:val="22"/>
          <w:szCs w:val="22"/>
        </w:rPr>
        <w:t xml:space="preserve">. godini </w:t>
      </w:r>
      <w:r w:rsidRPr="00BC207E">
        <w:rPr>
          <w:rFonts w:ascii="Aptos" w:hAnsi="Aptos" w:cstheme="minorHAnsi"/>
          <w:sz w:val="22"/>
          <w:szCs w:val="22"/>
        </w:rPr>
        <w:t>ispravljena je linearnom metodom amortizacije u iznosu od 1.556.390,74 €, te stanje ispravka vrijednosti na kraju razdoblja iznosi 20.602.061,44 €.</w:t>
      </w:r>
    </w:p>
    <w:p w14:paraId="5246702A" w14:textId="0DD8BB3F" w:rsidR="00966A1C"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9.</w:t>
      </w:r>
    </w:p>
    <w:p w14:paraId="314F578A" w14:textId="2F89E235" w:rsidR="005E5645" w:rsidRPr="00F61B8D" w:rsidRDefault="00966A1C"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ŠIFRA 022</w:t>
      </w:r>
      <w:r w:rsidR="005E5645" w:rsidRPr="00F61B8D">
        <w:rPr>
          <w:rFonts w:ascii="Aptos" w:hAnsi="Aptos" w:cstheme="minorHAnsi"/>
          <w:b/>
          <w:sz w:val="22"/>
          <w:szCs w:val="22"/>
        </w:rPr>
        <w:t xml:space="preserve"> – </w:t>
      </w:r>
      <w:proofErr w:type="spellStart"/>
      <w:r w:rsidR="005E5645" w:rsidRPr="00F61B8D">
        <w:rPr>
          <w:rFonts w:ascii="Aptos" w:hAnsi="Aptos" w:cstheme="minorHAnsi"/>
          <w:b/>
          <w:sz w:val="22"/>
          <w:szCs w:val="22"/>
        </w:rPr>
        <w:t>Postrojenja</w:t>
      </w:r>
      <w:proofErr w:type="spellEnd"/>
      <w:r w:rsidR="005E5645" w:rsidRPr="00F61B8D">
        <w:rPr>
          <w:rFonts w:ascii="Aptos" w:hAnsi="Aptos" w:cstheme="minorHAnsi"/>
          <w:b/>
          <w:sz w:val="22"/>
          <w:szCs w:val="22"/>
        </w:rPr>
        <w:t xml:space="preserve"> </w:t>
      </w:r>
      <w:proofErr w:type="spellStart"/>
      <w:r w:rsidR="005E5645" w:rsidRPr="00F61B8D">
        <w:rPr>
          <w:rFonts w:ascii="Aptos" w:hAnsi="Aptos" w:cstheme="minorHAnsi"/>
          <w:b/>
          <w:sz w:val="22"/>
          <w:szCs w:val="22"/>
        </w:rPr>
        <w:t>i</w:t>
      </w:r>
      <w:proofErr w:type="spellEnd"/>
      <w:r w:rsidR="005E5645" w:rsidRPr="00F61B8D">
        <w:rPr>
          <w:rFonts w:ascii="Aptos" w:hAnsi="Aptos" w:cstheme="minorHAnsi"/>
          <w:b/>
          <w:sz w:val="22"/>
          <w:szCs w:val="22"/>
        </w:rPr>
        <w:t xml:space="preserve"> </w:t>
      </w:r>
      <w:proofErr w:type="spellStart"/>
      <w:r w:rsidR="005E5645" w:rsidRPr="00F61B8D">
        <w:rPr>
          <w:rFonts w:ascii="Aptos" w:hAnsi="Aptos" w:cstheme="minorHAnsi"/>
          <w:b/>
          <w:sz w:val="22"/>
          <w:szCs w:val="22"/>
        </w:rPr>
        <w:t>oprema</w:t>
      </w:r>
      <w:proofErr w:type="spellEnd"/>
    </w:p>
    <w:p w14:paraId="4BDE1CFA" w14:textId="06D19C7A" w:rsidR="005E5645" w:rsidRPr="006B1BF1" w:rsidRDefault="005E5645" w:rsidP="00966A1C">
      <w:pPr>
        <w:spacing w:before="60" w:after="60"/>
        <w:ind w:left="-425" w:right="-380" w:firstLine="284"/>
        <w:jc w:val="both"/>
        <w:rPr>
          <w:rFonts w:ascii="Aptos" w:hAnsi="Aptos" w:cstheme="minorHAnsi"/>
          <w:sz w:val="22"/>
          <w:szCs w:val="22"/>
        </w:rPr>
      </w:pPr>
      <w:r w:rsidRPr="006B1BF1">
        <w:rPr>
          <w:rFonts w:ascii="Aptos" w:hAnsi="Aptos" w:cstheme="minorHAnsi"/>
          <w:sz w:val="22"/>
          <w:szCs w:val="22"/>
        </w:rPr>
        <w:t>Ukupna  vrijednost postrojenja i oprema na dan 31.12.202</w:t>
      </w:r>
      <w:r w:rsidR="00BC207E" w:rsidRPr="006B1BF1">
        <w:rPr>
          <w:rFonts w:ascii="Aptos" w:hAnsi="Aptos" w:cstheme="minorHAnsi"/>
          <w:sz w:val="22"/>
          <w:szCs w:val="22"/>
        </w:rPr>
        <w:t>3</w:t>
      </w:r>
      <w:r w:rsidRPr="006B1BF1">
        <w:rPr>
          <w:rFonts w:ascii="Aptos" w:hAnsi="Aptos" w:cstheme="minorHAnsi"/>
          <w:sz w:val="22"/>
          <w:szCs w:val="22"/>
        </w:rPr>
        <w:t xml:space="preserve">. godine iznosi </w:t>
      </w:r>
      <w:r w:rsidR="00BC207E" w:rsidRPr="006B1BF1">
        <w:rPr>
          <w:rFonts w:ascii="Aptos" w:hAnsi="Aptos" w:cstheme="minorHAnsi"/>
          <w:sz w:val="22"/>
          <w:szCs w:val="22"/>
        </w:rPr>
        <w:t>544.436,02 €</w:t>
      </w:r>
      <w:r w:rsidRPr="006B1BF1">
        <w:rPr>
          <w:rFonts w:ascii="Aptos" w:hAnsi="Aptos" w:cstheme="minorHAnsi"/>
          <w:sz w:val="22"/>
          <w:szCs w:val="22"/>
        </w:rPr>
        <w:t xml:space="preserve"> što je za </w:t>
      </w:r>
      <w:r w:rsidR="006B1BF1" w:rsidRPr="006B1BF1">
        <w:rPr>
          <w:rFonts w:ascii="Aptos" w:hAnsi="Aptos" w:cstheme="minorHAnsi"/>
          <w:sz w:val="22"/>
          <w:szCs w:val="22"/>
        </w:rPr>
        <w:t>2,1</w:t>
      </w:r>
      <w:r w:rsidRPr="006B1BF1">
        <w:rPr>
          <w:rFonts w:ascii="Aptos" w:hAnsi="Aptos" w:cstheme="minorHAnsi"/>
          <w:sz w:val="22"/>
          <w:szCs w:val="22"/>
        </w:rPr>
        <w:t xml:space="preserve">% </w:t>
      </w:r>
      <w:r w:rsidR="006B1BF1" w:rsidRPr="006B1BF1">
        <w:rPr>
          <w:rFonts w:ascii="Aptos" w:hAnsi="Aptos" w:cstheme="minorHAnsi"/>
          <w:sz w:val="22"/>
          <w:szCs w:val="22"/>
        </w:rPr>
        <w:t xml:space="preserve">manje </w:t>
      </w:r>
      <w:r w:rsidRPr="006B1BF1">
        <w:rPr>
          <w:rFonts w:ascii="Aptos" w:hAnsi="Aptos" w:cstheme="minorHAnsi"/>
          <w:sz w:val="22"/>
          <w:szCs w:val="22"/>
        </w:rPr>
        <w:t>u odnosu na vrijednost iste imovine u 202</w:t>
      </w:r>
      <w:r w:rsidR="006B1BF1" w:rsidRPr="006B1BF1">
        <w:rPr>
          <w:rFonts w:ascii="Aptos" w:hAnsi="Aptos" w:cstheme="minorHAnsi"/>
          <w:sz w:val="22"/>
          <w:szCs w:val="22"/>
        </w:rPr>
        <w:t>2</w:t>
      </w:r>
      <w:r w:rsidRPr="006B1BF1">
        <w:rPr>
          <w:rFonts w:ascii="Aptos" w:hAnsi="Aptos" w:cstheme="minorHAnsi"/>
          <w:sz w:val="22"/>
          <w:szCs w:val="22"/>
        </w:rPr>
        <w:t>. godini.</w:t>
      </w:r>
    </w:p>
    <w:p w14:paraId="230A867A" w14:textId="156210CC" w:rsidR="005E5645" w:rsidRDefault="005E5645" w:rsidP="00966A1C">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Sukladno planiranim proračunskim sredstvima tijekom 202</w:t>
      </w:r>
      <w:r w:rsidR="00513958">
        <w:rPr>
          <w:rFonts w:ascii="Aptos" w:hAnsi="Aptos" w:cstheme="minorHAnsi"/>
          <w:sz w:val="22"/>
          <w:szCs w:val="22"/>
        </w:rPr>
        <w:t>3</w:t>
      </w:r>
      <w:r w:rsidRPr="00F61B8D">
        <w:rPr>
          <w:rFonts w:ascii="Aptos" w:hAnsi="Aptos" w:cstheme="minorHAnsi"/>
          <w:sz w:val="22"/>
          <w:szCs w:val="22"/>
        </w:rPr>
        <w:t xml:space="preserve">. godine nabavljeno je opreme u vrijednosti od </w:t>
      </w:r>
      <w:r w:rsidR="00513958">
        <w:rPr>
          <w:rFonts w:ascii="Aptos" w:hAnsi="Aptos" w:cstheme="minorHAnsi"/>
          <w:sz w:val="22"/>
          <w:szCs w:val="22"/>
        </w:rPr>
        <w:t xml:space="preserve">163.508,05 €, i to: računalne opreme i uredskog namještaja, opreme za interpretacijski centar </w:t>
      </w:r>
      <w:proofErr w:type="spellStart"/>
      <w:r w:rsidR="009E7265">
        <w:rPr>
          <w:rFonts w:ascii="Aptos" w:hAnsi="Aptos" w:cstheme="minorHAnsi"/>
          <w:sz w:val="22"/>
          <w:szCs w:val="22"/>
        </w:rPr>
        <w:t>ribarstvene</w:t>
      </w:r>
      <w:proofErr w:type="spellEnd"/>
      <w:r w:rsidR="009E7265">
        <w:rPr>
          <w:rFonts w:ascii="Aptos" w:hAnsi="Aptos" w:cstheme="minorHAnsi"/>
          <w:sz w:val="22"/>
          <w:szCs w:val="22"/>
        </w:rPr>
        <w:t xml:space="preserve"> i pomorske baštine, opreme za sustav grijanja i hlađenja u zgradi gradske uprave, opreme za dječja igrališta i sportske objekte, domove kulture i sl.</w:t>
      </w:r>
    </w:p>
    <w:p w14:paraId="04E258F0" w14:textId="3A44910B" w:rsidR="009E7265" w:rsidRPr="00F61B8D" w:rsidRDefault="009E7265" w:rsidP="00966A1C">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Temeljem izvršenog Godišnjeg popisa imovine, obveza i potraživanja Grada Bakra za 2023. godinu i </w:t>
      </w:r>
      <w:r w:rsidR="00E16258">
        <w:rPr>
          <w:rFonts w:ascii="Aptos" w:hAnsi="Aptos" w:cstheme="minorHAnsi"/>
          <w:sz w:val="22"/>
          <w:szCs w:val="22"/>
        </w:rPr>
        <w:t>Zapisnika povjerenstava za provođenje popisa izvršen je otpis rashodovane opreme u iznosu od 9.416,76 €</w:t>
      </w:r>
      <w:r w:rsidR="006B1BF1">
        <w:rPr>
          <w:rFonts w:ascii="Aptos" w:hAnsi="Aptos" w:cstheme="minorHAnsi"/>
          <w:sz w:val="22"/>
          <w:szCs w:val="22"/>
        </w:rPr>
        <w:t xml:space="preserve">, dok je Odlukom gradonačelnika isknjiženo komunalne opreme </w:t>
      </w:r>
      <w:r w:rsidR="006B1BF1" w:rsidRPr="006B1BF1">
        <w:rPr>
          <w:rFonts w:ascii="Aptos" w:hAnsi="Aptos" w:cstheme="minorHAnsi"/>
          <w:sz w:val="22"/>
          <w:szCs w:val="22"/>
        </w:rPr>
        <w:t xml:space="preserve">– spremnika za otpad nabavljene 2015. godine </w:t>
      </w:r>
      <w:r w:rsidR="006B1BF1">
        <w:rPr>
          <w:rFonts w:ascii="Aptos" w:hAnsi="Aptos" w:cstheme="minorHAnsi"/>
          <w:sz w:val="22"/>
          <w:szCs w:val="22"/>
        </w:rPr>
        <w:t xml:space="preserve">u vrijednosti od </w:t>
      </w:r>
      <w:r w:rsidR="006B1BF1" w:rsidRPr="006B1BF1">
        <w:rPr>
          <w:rFonts w:ascii="Aptos" w:hAnsi="Aptos" w:cstheme="minorHAnsi"/>
          <w:sz w:val="22"/>
          <w:szCs w:val="22"/>
        </w:rPr>
        <w:t>129,396.44</w:t>
      </w:r>
      <w:r w:rsidR="006B1BF1">
        <w:rPr>
          <w:rFonts w:ascii="Aptos" w:hAnsi="Aptos" w:cstheme="minorHAnsi"/>
          <w:sz w:val="22"/>
          <w:szCs w:val="22"/>
        </w:rPr>
        <w:t xml:space="preserve"> €.</w:t>
      </w:r>
    </w:p>
    <w:p w14:paraId="062FE41B" w14:textId="296C03A7"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10.</w:t>
      </w:r>
    </w:p>
    <w:p w14:paraId="0A53C09C" w14:textId="2577C784"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02922 - </w:t>
      </w:r>
      <w:proofErr w:type="spellStart"/>
      <w:r w:rsidRPr="00F61B8D">
        <w:rPr>
          <w:rFonts w:ascii="Aptos" w:hAnsi="Aptos" w:cstheme="minorHAnsi"/>
          <w:b/>
          <w:sz w:val="22"/>
          <w:szCs w:val="22"/>
        </w:rPr>
        <w:t>Ispravak</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vrijednosti</w:t>
      </w:r>
      <w:proofErr w:type="spellEnd"/>
      <w:r w:rsidRPr="00F61B8D">
        <w:rPr>
          <w:rFonts w:ascii="Aptos" w:hAnsi="Aptos" w:cstheme="minorHAnsi"/>
          <w:b/>
          <w:sz w:val="22"/>
          <w:szCs w:val="22"/>
        </w:rPr>
        <w:t xml:space="preserve"> </w:t>
      </w:r>
      <w:proofErr w:type="spellStart"/>
      <w:r w:rsidR="00F55EB7">
        <w:rPr>
          <w:rFonts w:ascii="Aptos" w:hAnsi="Aptos" w:cstheme="minorHAnsi"/>
          <w:b/>
          <w:sz w:val="22"/>
          <w:szCs w:val="22"/>
        </w:rPr>
        <w:t>postrojenja</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i</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opreme</w:t>
      </w:r>
      <w:proofErr w:type="spellEnd"/>
    </w:p>
    <w:p w14:paraId="4A10E083" w14:textId="4079C9EB" w:rsidR="005E5645" w:rsidRPr="00600A36" w:rsidRDefault="005E5645" w:rsidP="00966A1C">
      <w:pPr>
        <w:spacing w:before="60" w:after="60"/>
        <w:ind w:left="-425" w:right="-380" w:firstLine="284"/>
        <w:jc w:val="both"/>
        <w:rPr>
          <w:rFonts w:ascii="Aptos" w:hAnsi="Aptos" w:cstheme="minorHAnsi"/>
          <w:sz w:val="22"/>
          <w:szCs w:val="22"/>
        </w:rPr>
      </w:pPr>
      <w:r w:rsidRPr="00600A36">
        <w:rPr>
          <w:rFonts w:ascii="Aptos" w:hAnsi="Aptos" w:cstheme="minorHAnsi"/>
          <w:sz w:val="22"/>
          <w:szCs w:val="22"/>
        </w:rPr>
        <w:t>Ispravak vrijednosti postrojenja i opreme za 202</w:t>
      </w:r>
      <w:r w:rsidR="00600A36">
        <w:rPr>
          <w:rFonts w:ascii="Aptos" w:hAnsi="Aptos" w:cstheme="minorHAnsi"/>
          <w:sz w:val="22"/>
          <w:szCs w:val="22"/>
        </w:rPr>
        <w:t>3</w:t>
      </w:r>
      <w:r w:rsidRPr="00600A36">
        <w:rPr>
          <w:rFonts w:ascii="Aptos" w:hAnsi="Aptos" w:cstheme="minorHAnsi"/>
          <w:sz w:val="22"/>
          <w:szCs w:val="22"/>
        </w:rPr>
        <w:t xml:space="preserve">. godinu evidentiran je u ukupnom iznosu od </w:t>
      </w:r>
      <w:r w:rsidR="00600A36">
        <w:rPr>
          <w:rFonts w:ascii="Aptos" w:hAnsi="Aptos" w:cstheme="minorHAnsi"/>
          <w:sz w:val="22"/>
          <w:szCs w:val="22"/>
        </w:rPr>
        <w:t>1.131.402,41 €, što je za 3,3% više u odnosu na podatke iz prošlogodišnjeg razdoblja.</w:t>
      </w:r>
    </w:p>
    <w:p w14:paraId="4F3AA2B0" w14:textId="2FD4E96C"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11.</w:t>
      </w:r>
    </w:p>
    <w:p w14:paraId="03676CAC" w14:textId="008F791E"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023 </w:t>
      </w:r>
      <w:proofErr w:type="spellStart"/>
      <w:r w:rsidRPr="00F61B8D">
        <w:rPr>
          <w:rFonts w:ascii="Aptos" w:hAnsi="Aptos" w:cstheme="minorHAnsi"/>
          <w:b/>
          <w:sz w:val="22"/>
          <w:szCs w:val="22"/>
        </w:rPr>
        <w:t>i</w:t>
      </w:r>
      <w:proofErr w:type="spellEnd"/>
      <w:r w:rsidRPr="00F61B8D">
        <w:rPr>
          <w:rFonts w:ascii="Aptos" w:hAnsi="Aptos" w:cstheme="minorHAnsi"/>
          <w:b/>
          <w:sz w:val="22"/>
          <w:szCs w:val="22"/>
        </w:rPr>
        <w:t xml:space="preserve"> 02923</w:t>
      </w:r>
      <w:r w:rsidR="00966A1C" w:rsidRPr="00F61B8D">
        <w:rPr>
          <w:rFonts w:ascii="Aptos" w:hAnsi="Aptos" w:cstheme="minorHAnsi"/>
          <w:b/>
          <w:sz w:val="22"/>
          <w:szCs w:val="22"/>
        </w:rPr>
        <w:t xml:space="preserve"> - </w:t>
      </w:r>
      <w:proofErr w:type="spellStart"/>
      <w:r w:rsidRPr="00F61B8D">
        <w:rPr>
          <w:rFonts w:ascii="Aptos" w:hAnsi="Aptos" w:cstheme="minorHAnsi"/>
          <w:b/>
          <w:sz w:val="22"/>
          <w:szCs w:val="22"/>
        </w:rPr>
        <w:t>Prijevozna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sredstava</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i</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ispravak</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vrijednosti</w:t>
      </w:r>
      <w:proofErr w:type="spellEnd"/>
    </w:p>
    <w:p w14:paraId="147F72B6" w14:textId="39F69475" w:rsidR="000B7710" w:rsidRDefault="005E5645" w:rsidP="00F55EB7">
      <w:pPr>
        <w:spacing w:before="60" w:after="60"/>
        <w:ind w:left="-425" w:right="-380" w:firstLine="284"/>
        <w:jc w:val="both"/>
        <w:rPr>
          <w:rFonts w:ascii="Aptos" w:hAnsi="Aptos" w:cstheme="minorHAnsi"/>
          <w:sz w:val="22"/>
          <w:szCs w:val="22"/>
        </w:rPr>
      </w:pPr>
      <w:r w:rsidRPr="00F55EB7">
        <w:rPr>
          <w:rFonts w:ascii="Aptos" w:hAnsi="Aptos" w:cstheme="minorHAnsi"/>
          <w:sz w:val="22"/>
          <w:szCs w:val="22"/>
        </w:rPr>
        <w:t>Vrijednost prijevoznih sredstava u 202</w:t>
      </w:r>
      <w:r w:rsidR="00C73CF5" w:rsidRPr="00F55EB7">
        <w:rPr>
          <w:rFonts w:ascii="Aptos" w:hAnsi="Aptos" w:cstheme="minorHAnsi"/>
          <w:sz w:val="22"/>
          <w:szCs w:val="22"/>
        </w:rPr>
        <w:t>3</w:t>
      </w:r>
      <w:r w:rsidRPr="00F55EB7">
        <w:rPr>
          <w:rFonts w:ascii="Aptos" w:hAnsi="Aptos" w:cstheme="minorHAnsi"/>
          <w:sz w:val="22"/>
          <w:szCs w:val="22"/>
        </w:rPr>
        <w:t xml:space="preserve">. godini iznosi </w:t>
      </w:r>
      <w:r w:rsidR="00F55EB7" w:rsidRPr="00F55EB7">
        <w:rPr>
          <w:rFonts w:ascii="Aptos" w:hAnsi="Aptos" w:cstheme="minorHAnsi"/>
          <w:sz w:val="22"/>
          <w:szCs w:val="22"/>
        </w:rPr>
        <w:t>54.239,15 €</w:t>
      </w:r>
      <w:r w:rsidR="00F55EB7">
        <w:rPr>
          <w:rFonts w:ascii="Aptos" w:hAnsi="Aptos" w:cstheme="minorHAnsi"/>
          <w:sz w:val="22"/>
          <w:szCs w:val="22"/>
        </w:rPr>
        <w:t>,</w:t>
      </w:r>
      <w:r w:rsidRPr="00F55EB7">
        <w:rPr>
          <w:rFonts w:ascii="Aptos" w:hAnsi="Aptos" w:cstheme="minorHAnsi"/>
          <w:sz w:val="22"/>
          <w:szCs w:val="22"/>
        </w:rPr>
        <w:t xml:space="preserve"> </w:t>
      </w:r>
      <w:r w:rsidR="00F55EB7" w:rsidRPr="00F55EB7">
        <w:rPr>
          <w:rFonts w:ascii="Aptos" w:hAnsi="Aptos" w:cstheme="minorHAnsi"/>
          <w:sz w:val="22"/>
          <w:szCs w:val="22"/>
        </w:rPr>
        <w:t>što je za 83,8% više u odnosu na 2022. godinu</w:t>
      </w:r>
      <w:r w:rsidR="00F55EB7">
        <w:rPr>
          <w:rFonts w:ascii="Aptos" w:hAnsi="Aptos" w:cstheme="minorHAnsi"/>
          <w:sz w:val="22"/>
          <w:szCs w:val="22"/>
        </w:rPr>
        <w:t>, obzirom da su u</w:t>
      </w:r>
      <w:r w:rsidR="000B7710">
        <w:rPr>
          <w:rFonts w:ascii="Aptos" w:hAnsi="Aptos" w:cstheme="minorHAnsi"/>
          <w:sz w:val="22"/>
          <w:szCs w:val="22"/>
        </w:rPr>
        <w:t xml:space="preserve"> ovom izvještajnom razdoblju nabavljena dva službena vozila u iznosu od 48.955,47 €, dok su </w:t>
      </w:r>
      <w:r w:rsidR="00F55EB7">
        <w:rPr>
          <w:rFonts w:ascii="Aptos" w:hAnsi="Aptos" w:cstheme="minorHAnsi"/>
          <w:sz w:val="22"/>
          <w:szCs w:val="22"/>
        </w:rPr>
        <w:t>zbog nefunkcionalnosti</w:t>
      </w:r>
      <w:r w:rsidR="000B7710" w:rsidRPr="000B7710">
        <w:rPr>
          <w:rFonts w:ascii="Aptos" w:hAnsi="Aptos" w:cstheme="minorHAnsi"/>
          <w:sz w:val="22"/>
          <w:szCs w:val="22"/>
        </w:rPr>
        <w:t xml:space="preserve"> dva službena automobila</w:t>
      </w:r>
      <w:r w:rsidR="000B7710">
        <w:rPr>
          <w:rFonts w:ascii="Aptos" w:hAnsi="Aptos" w:cstheme="minorHAnsi"/>
          <w:sz w:val="22"/>
          <w:szCs w:val="22"/>
        </w:rPr>
        <w:t xml:space="preserve"> prodana i isknjižena iz poslovnih knjiga</w:t>
      </w:r>
      <w:r w:rsidR="000B7710" w:rsidRPr="000B7710">
        <w:rPr>
          <w:rFonts w:ascii="Aptos" w:hAnsi="Aptos" w:cstheme="minorHAnsi"/>
          <w:sz w:val="22"/>
          <w:szCs w:val="22"/>
        </w:rPr>
        <w:t xml:space="preserve"> u iznosu od 10.334,93 €</w:t>
      </w:r>
      <w:r w:rsidR="000B7710">
        <w:rPr>
          <w:rFonts w:ascii="Aptos" w:hAnsi="Aptos" w:cstheme="minorHAnsi"/>
          <w:sz w:val="22"/>
          <w:szCs w:val="22"/>
        </w:rPr>
        <w:t>.</w:t>
      </w:r>
      <w:r w:rsidR="00F55EB7">
        <w:rPr>
          <w:rFonts w:ascii="Aptos" w:hAnsi="Aptos" w:cstheme="minorHAnsi"/>
          <w:sz w:val="22"/>
          <w:szCs w:val="22"/>
        </w:rPr>
        <w:t xml:space="preserve"> Ispravak vrijednosti na kraju razdoblja iznosi 30.486,69 €.</w:t>
      </w:r>
    </w:p>
    <w:p w14:paraId="75518EF6" w14:textId="77777777" w:rsidR="00F55EB7" w:rsidRPr="00F55EB7" w:rsidRDefault="00F55EB7" w:rsidP="00F55EB7">
      <w:pPr>
        <w:spacing w:before="60" w:after="60"/>
        <w:ind w:left="-425" w:right="-380" w:firstLine="284"/>
        <w:jc w:val="both"/>
        <w:rPr>
          <w:rFonts w:ascii="Aptos" w:hAnsi="Aptos" w:cstheme="minorHAnsi"/>
          <w:color w:val="FF0000"/>
          <w:sz w:val="22"/>
          <w:szCs w:val="22"/>
        </w:rPr>
      </w:pPr>
    </w:p>
    <w:p w14:paraId="0C32CF52" w14:textId="160BA037"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lastRenderedPageBreak/>
        <w:t>Bilješka 12.</w:t>
      </w:r>
    </w:p>
    <w:p w14:paraId="4C7963BF" w14:textId="79868C83"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024 </w:t>
      </w:r>
      <w:proofErr w:type="spellStart"/>
      <w:r w:rsidRPr="00F61B8D">
        <w:rPr>
          <w:rFonts w:ascii="Aptos" w:hAnsi="Aptos" w:cstheme="minorHAnsi"/>
          <w:b/>
          <w:sz w:val="22"/>
          <w:szCs w:val="22"/>
        </w:rPr>
        <w:t>i</w:t>
      </w:r>
      <w:proofErr w:type="spellEnd"/>
      <w:r w:rsidRPr="00F61B8D">
        <w:rPr>
          <w:rFonts w:ascii="Aptos" w:hAnsi="Aptos" w:cstheme="minorHAnsi"/>
          <w:b/>
          <w:sz w:val="22"/>
          <w:szCs w:val="22"/>
        </w:rPr>
        <w:t xml:space="preserve"> 02924</w:t>
      </w:r>
      <w:r w:rsidR="00966A1C" w:rsidRPr="00F61B8D">
        <w:rPr>
          <w:rFonts w:ascii="Aptos" w:hAnsi="Aptos" w:cstheme="minorHAnsi"/>
          <w:b/>
          <w:sz w:val="22"/>
          <w:szCs w:val="22"/>
        </w:rPr>
        <w:t xml:space="preserve"> - </w:t>
      </w:r>
      <w:proofErr w:type="spellStart"/>
      <w:r w:rsidRPr="00F61B8D">
        <w:rPr>
          <w:rFonts w:ascii="Aptos" w:hAnsi="Aptos" w:cstheme="minorHAnsi"/>
          <w:b/>
          <w:sz w:val="22"/>
          <w:szCs w:val="22"/>
        </w:rPr>
        <w:t>Knjige</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umjetnička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djela</w:t>
      </w:r>
      <w:proofErr w:type="spellEnd"/>
      <w:r w:rsidR="000B7710">
        <w:rPr>
          <w:rFonts w:ascii="Aptos" w:hAnsi="Aptos" w:cstheme="minorHAnsi"/>
          <w:b/>
          <w:sz w:val="22"/>
          <w:szCs w:val="22"/>
        </w:rPr>
        <w:t xml:space="preserve"> </w:t>
      </w:r>
      <w:proofErr w:type="spellStart"/>
      <w:r w:rsidR="000B7710">
        <w:rPr>
          <w:rFonts w:ascii="Aptos" w:hAnsi="Aptos" w:cstheme="minorHAnsi"/>
          <w:b/>
          <w:sz w:val="22"/>
          <w:szCs w:val="22"/>
        </w:rPr>
        <w:t>i</w:t>
      </w:r>
      <w:proofErr w:type="spellEnd"/>
      <w:r w:rsidR="000B7710">
        <w:rPr>
          <w:rFonts w:ascii="Aptos" w:hAnsi="Aptos" w:cstheme="minorHAnsi"/>
          <w:b/>
          <w:sz w:val="22"/>
          <w:szCs w:val="22"/>
        </w:rPr>
        <w:t xml:space="preserve"> </w:t>
      </w:r>
      <w:proofErr w:type="spellStart"/>
      <w:r w:rsidR="000B7710">
        <w:rPr>
          <w:rFonts w:ascii="Aptos" w:hAnsi="Aptos" w:cstheme="minorHAnsi"/>
          <w:b/>
          <w:sz w:val="22"/>
          <w:szCs w:val="22"/>
        </w:rPr>
        <w:t>ostale</w:t>
      </w:r>
      <w:proofErr w:type="spellEnd"/>
      <w:r w:rsidR="000B7710">
        <w:rPr>
          <w:rFonts w:ascii="Aptos" w:hAnsi="Aptos" w:cstheme="minorHAnsi"/>
          <w:b/>
          <w:sz w:val="22"/>
          <w:szCs w:val="22"/>
        </w:rPr>
        <w:t xml:space="preserve"> </w:t>
      </w:r>
      <w:proofErr w:type="spellStart"/>
      <w:r w:rsidR="000B7710">
        <w:rPr>
          <w:rFonts w:ascii="Aptos" w:hAnsi="Aptos" w:cstheme="minorHAnsi"/>
          <w:b/>
          <w:sz w:val="22"/>
          <w:szCs w:val="22"/>
        </w:rPr>
        <w:t>izložbene</w:t>
      </w:r>
      <w:proofErr w:type="spellEnd"/>
      <w:r w:rsidR="000B7710">
        <w:rPr>
          <w:rFonts w:ascii="Aptos" w:hAnsi="Aptos" w:cstheme="minorHAnsi"/>
          <w:b/>
          <w:sz w:val="22"/>
          <w:szCs w:val="22"/>
        </w:rPr>
        <w:t xml:space="preserve"> </w:t>
      </w:r>
      <w:proofErr w:type="spellStart"/>
      <w:r w:rsidR="000B7710">
        <w:rPr>
          <w:rFonts w:ascii="Aptos" w:hAnsi="Aptos" w:cstheme="minorHAnsi"/>
          <w:b/>
          <w:sz w:val="22"/>
          <w:szCs w:val="22"/>
        </w:rPr>
        <w:t>vrijednosti</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te</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ispravak</w:t>
      </w:r>
      <w:proofErr w:type="spellEnd"/>
      <w:r w:rsidR="00F55EB7">
        <w:rPr>
          <w:rFonts w:ascii="Aptos" w:hAnsi="Aptos" w:cstheme="minorHAnsi"/>
          <w:b/>
          <w:sz w:val="22"/>
          <w:szCs w:val="22"/>
        </w:rPr>
        <w:t xml:space="preserve"> </w:t>
      </w:r>
      <w:proofErr w:type="spellStart"/>
      <w:r w:rsidR="00F55EB7">
        <w:rPr>
          <w:rFonts w:ascii="Aptos" w:hAnsi="Aptos" w:cstheme="minorHAnsi"/>
          <w:b/>
          <w:sz w:val="22"/>
          <w:szCs w:val="22"/>
        </w:rPr>
        <w:t>vrijednosti</w:t>
      </w:r>
      <w:proofErr w:type="spellEnd"/>
    </w:p>
    <w:p w14:paraId="1E096CB5" w14:textId="747BD1DB" w:rsidR="00D674BE" w:rsidRDefault="005E5645" w:rsidP="00D674B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U  izvještajnom razdoblju  </w:t>
      </w:r>
      <w:r w:rsidR="000B7710">
        <w:rPr>
          <w:rFonts w:ascii="Aptos" w:hAnsi="Aptos" w:cstheme="minorHAnsi"/>
          <w:sz w:val="22"/>
          <w:szCs w:val="22"/>
        </w:rPr>
        <w:t>nabavljeno je knjiga, umjetničkih djela i ostalih izložbenih vrijednosti u iznosu od 33.542,13 €</w:t>
      </w:r>
      <w:r w:rsidR="00A47084">
        <w:rPr>
          <w:rFonts w:ascii="Aptos" w:hAnsi="Aptos" w:cstheme="minorHAnsi"/>
          <w:sz w:val="22"/>
          <w:szCs w:val="22"/>
        </w:rPr>
        <w:t xml:space="preserve">, a koje se odnose na </w:t>
      </w:r>
      <w:r w:rsidR="00A47084" w:rsidRPr="00F61B8D">
        <w:rPr>
          <w:rFonts w:ascii="Aptos" w:hAnsi="Aptos" w:cstheme="minorHAnsi"/>
          <w:sz w:val="22"/>
          <w:szCs w:val="22"/>
        </w:rPr>
        <w:t>izradu i postavu biste u čast Josipu </w:t>
      </w:r>
      <w:proofErr w:type="spellStart"/>
      <w:r w:rsidR="00A47084" w:rsidRPr="00F61B8D">
        <w:rPr>
          <w:rFonts w:ascii="Aptos" w:hAnsi="Aptos" w:cstheme="minorHAnsi"/>
          <w:sz w:val="22"/>
          <w:szCs w:val="22"/>
        </w:rPr>
        <w:t>Marohniću</w:t>
      </w:r>
      <w:proofErr w:type="spellEnd"/>
      <w:r w:rsidR="00A47084" w:rsidRPr="00F61B8D">
        <w:rPr>
          <w:rFonts w:ascii="Aptos" w:hAnsi="Aptos" w:cstheme="minorHAnsi"/>
          <w:sz w:val="22"/>
          <w:szCs w:val="22"/>
        </w:rPr>
        <w:t>, jednom od najpoznatijih iseljenika naših krajeva, predsjedniku Hrvatske bratske zajednice u Americi od 1912. do 1921. godine</w:t>
      </w:r>
      <w:r w:rsidR="00A47084">
        <w:rPr>
          <w:rFonts w:ascii="Aptos" w:hAnsi="Aptos" w:cstheme="minorHAnsi"/>
          <w:sz w:val="22"/>
          <w:szCs w:val="22"/>
        </w:rPr>
        <w:t xml:space="preserve">, kao i na elemente Vrše sjećanja i ostalih izložbenih predmeta u okviru projekta opremanja interpretacijskog centra </w:t>
      </w:r>
      <w:proofErr w:type="spellStart"/>
      <w:r w:rsidR="00A47084">
        <w:rPr>
          <w:rFonts w:ascii="Aptos" w:hAnsi="Aptos" w:cstheme="minorHAnsi"/>
          <w:sz w:val="22"/>
          <w:szCs w:val="22"/>
        </w:rPr>
        <w:t>ribarstvene</w:t>
      </w:r>
      <w:proofErr w:type="spellEnd"/>
      <w:r w:rsidR="00A47084">
        <w:rPr>
          <w:rFonts w:ascii="Aptos" w:hAnsi="Aptos" w:cstheme="minorHAnsi"/>
          <w:sz w:val="22"/>
          <w:szCs w:val="22"/>
        </w:rPr>
        <w:t xml:space="preserve"> i pomorske baštine</w:t>
      </w:r>
      <w:r w:rsidR="00F55EB7">
        <w:rPr>
          <w:rFonts w:ascii="Aptos" w:hAnsi="Aptos" w:cstheme="minorHAnsi"/>
          <w:sz w:val="22"/>
          <w:szCs w:val="22"/>
        </w:rPr>
        <w:t xml:space="preserve"> „O RIBI“</w:t>
      </w:r>
      <w:r w:rsidR="00A47084">
        <w:rPr>
          <w:rFonts w:ascii="Aptos" w:hAnsi="Aptos" w:cstheme="minorHAnsi"/>
          <w:sz w:val="22"/>
          <w:szCs w:val="22"/>
        </w:rPr>
        <w:t xml:space="preserve"> u Turskoj kući Bakar.</w:t>
      </w:r>
      <w:r w:rsidR="00D674BE">
        <w:rPr>
          <w:rFonts w:ascii="Aptos" w:hAnsi="Aptos" w:cstheme="minorHAnsi"/>
          <w:sz w:val="22"/>
          <w:szCs w:val="22"/>
        </w:rPr>
        <w:t xml:space="preserve"> Iznos i</w:t>
      </w:r>
      <w:r w:rsidR="00F55EB7">
        <w:rPr>
          <w:rFonts w:ascii="Aptos" w:hAnsi="Aptos" w:cstheme="minorHAnsi"/>
          <w:sz w:val="22"/>
          <w:szCs w:val="22"/>
        </w:rPr>
        <w:t>sprav</w:t>
      </w:r>
      <w:r w:rsidR="00D674BE">
        <w:rPr>
          <w:rFonts w:ascii="Aptos" w:hAnsi="Aptos" w:cstheme="minorHAnsi"/>
          <w:sz w:val="22"/>
          <w:szCs w:val="22"/>
        </w:rPr>
        <w:t>ka</w:t>
      </w:r>
      <w:r w:rsidR="00F55EB7">
        <w:rPr>
          <w:rFonts w:ascii="Aptos" w:hAnsi="Aptos" w:cstheme="minorHAnsi"/>
          <w:sz w:val="22"/>
          <w:szCs w:val="22"/>
        </w:rPr>
        <w:t xml:space="preserve"> vrijednosti na kraju ovog razdoblja identič</w:t>
      </w:r>
      <w:r w:rsidR="00D674BE">
        <w:rPr>
          <w:rFonts w:ascii="Aptos" w:hAnsi="Aptos" w:cstheme="minorHAnsi"/>
          <w:sz w:val="22"/>
          <w:szCs w:val="22"/>
        </w:rPr>
        <w:t>an</w:t>
      </w:r>
      <w:r w:rsidR="00F55EB7">
        <w:rPr>
          <w:rFonts w:ascii="Aptos" w:hAnsi="Aptos" w:cstheme="minorHAnsi"/>
          <w:sz w:val="22"/>
          <w:szCs w:val="22"/>
        </w:rPr>
        <w:t xml:space="preserve"> je </w:t>
      </w:r>
      <w:r w:rsidR="00D674BE">
        <w:rPr>
          <w:rFonts w:ascii="Aptos" w:hAnsi="Aptos" w:cstheme="minorHAnsi"/>
          <w:sz w:val="22"/>
          <w:szCs w:val="22"/>
        </w:rPr>
        <w:t xml:space="preserve">iznosu ispravka </w:t>
      </w:r>
      <w:r w:rsidR="00F55EB7">
        <w:rPr>
          <w:rFonts w:ascii="Aptos" w:hAnsi="Aptos" w:cstheme="minorHAnsi"/>
          <w:sz w:val="22"/>
          <w:szCs w:val="22"/>
        </w:rPr>
        <w:t xml:space="preserve">vrijednosti </w:t>
      </w:r>
      <w:r w:rsidR="00D674BE">
        <w:rPr>
          <w:rFonts w:ascii="Aptos" w:hAnsi="Aptos" w:cstheme="minorHAnsi"/>
          <w:sz w:val="22"/>
          <w:szCs w:val="22"/>
        </w:rPr>
        <w:t xml:space="preserve">na kraju prošlog razdoblja, odnosno iskazan je neznatna razlika uslijed </w:t>
      </w:r>
      <w:r w:rsidR="00D674BE" w:rsidRPr="00FD2D86">
        <w:rPr>
          <w:rFonts w:ascii="Aptos" w:hAnsi="Aptos" w:cstheme="minorHAnsi"/>
          <w:sz w:val="22"/>
          <w:szCs w:val="22"/>
        </w:rPr>
        <w:t>preračunavanj</w:t>
      </w:r>
      <w:r w:rsidR="00D674BE">
        <w:rPr>
          <w:rFonts w:ascii="Aptos" w:hAnsi="Aptos" w:cstheme="minorHAnsi"/>
          <w:sz w:val="22"/>
          <w:szCs w:val="22"/>
        </w:rPr>
        <w:t>a i usklađivanja</w:t>
      </w:r>
      <w:r w:rsidR="00D674BE" w:rsidRPr="00FD2D86">
        <w:rPr>
          <w:rFonts w:ascii="Aptos" w:hAnsi="Aptos" w:cstheme="minorHAnsi"/>
          <w:sz w:val="22"/>
          <w:szCs w:val="22"/>
        </w:rPr>
        <w:t xml:space="preserve"> iznosa iz kuna u eure</w:t>
      </w:r>
      <w:r w:rsidR="00D674BE">
        <w:rPr>
          <w:rFonts w:ascii="Aptos" w:hAnsi="Aptos" w:cstheme="minorHAnsi"/>
          <w:sz w:val="22"/>
          <w:szCs w:val="22"/>
        </w:rPr>
        <w:t>.</w:t>
      </w:r>
    </w:p>
    <w:p w14:paraId="53062671" w14:textId="570E1880"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13.</w:t>
      </w:r>
    </w:p>
    <w:p w14:paraId="44B65CF7" w14:textId="492517AD"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026 </w:t>
      </w:r>
      <w:proofErr w:type="spellStart"/>
      <w:r w:rsidRPr="00F61B8D">
        <w:rPr>
          <w:rFonts w:ascii="Aptos" w:hAnsi="Aptos" w:cstheme="minorHAnsi"/>
          <w:b/>
          <w:sz w:val="22"/>
          <w:szCs w:val="22"/>
        </w:rPr>
        <w:t>i</w:t>
      </w:r>
      <w:proofErr w:type="spellEnd"/>
      <w:r w:rsidRPr="00F61B8D">
        <w:rPr>
          <w:rFonts w:ascii="Aptos" w:hAnsi="Aptos" w:cstheme="minorHAnsi"/>
          <w:b/>
          <w:sz w:val="22"/>
          <w:szCs w:val="22"/>
        </w:rPr>
        <w:t xml:space="preserve"> 02926</w:t>
      </w:r>
      <w:r w:rsidR="00966A1C" w:rsidRPr="00F61B8D">
        <w:rPr>
          <w:rFonts w:ascii="Aptos" w:hAnsi="Aptos" w:cstheme="minorHAnsi"/>
          <w:b/>
          <w:sz w:val="22"/>
          <w:szCs w:val="22"/>
        </w:rPr>
        <w:t xml:space="preserve"> - </w:t>
      </w:r>
      <w:proofErr w:type="spellStart"/>
      <w:r w:rsidRPr="00F61B8D">
        <w:rPr>
          <w:rFonts w:ascii="Aptos" w:hAnsi="Aptos" w:cstheme="minorHAnsi"/>
          <w:b/>
          <w:sz w:val="22"/>
          <w:szCs w:val="22"/>
        </w:rPr>
        <w:t>Nematerijalna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proizvedena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r w:rsidR="00D674BE">
        <w:rPr>
          <w:rFonts w:ascii="Aptos" w:hAnsi="Aptos" w:cstheme="minorHAnsi"/>
          <w:b/>
          <w:sz w:val="22"/>
          <w:szCs w:val="22"/>
        </w:rPr>
        <w:t xml:space="preserve"> </w:t>
      </w:r>
      <w:proofErr w:type="spellStart"/>
      <w:r w:rsidR="00D674BE">
        <w:rPr>
          <w:rFonts w:ascii="Aptos" w:hAnsi="Aptos" w:cstheme="minorHAnsi"/>
          <w:b/>
          <w:sz w:val="22"/>
          <w:szCs w:val="22"/>
        </w:rPr>
        <w:t>i</w:t>
      </w:r>
      <w:proofErr w:type="spellEnd"/>
      <w:r w:rsidR="00D674BE">
        <w:rPr>
          <w:rFonts w:ascii="Aptos" w:hAnsi="Aptos" w:cstheme="minorHAnsi"/>
          <w:b/>
          <w:sz w:val="22"/>
          <w:szCs w:val="22"/>
        </w:rPr>
        <w:t xml:space="preserve"> </w:t>
      </w:r>
      <w:proofErr w:type="spellStart"/>
      <w:r w:rsidR="00D674BE">
        <w:rPr>
          <w:rFonts w:ascii="Aptos" w:hAnsi="Aptos" w:cstheme="minorHAnsi"/>
          <w:b/>
          <w:sz w:val="22"/>
          <w:szCs w:val="22"/>
        </w:rPr>
        <w:t>ispravak</w:t>
      </w:r>
      <w:proofErr w:type="spellEnd"/>
      <w:r w:rsidR="00D674BE">
        <w:rPr>
          <w:rFonts w:ascii="Aptos" w:hAnsi="Aptos" w:cstheme="minorHAnsi"/>
          <w:b/>
          <w:sz w:val="22"/>
          <w:szCs w:val="22"/>
        </w:rPr>
        <w:t xml:space="preserve"> </w:t>
      </w:r>
      <w:proofErr w:type="spellStart"/>
      <w:r w:rsidR="00D674BE">
        <w:rPr>
          <w:rFonts w:ascii="Aptos" w:hAnsi="Aptos" w:cstheme="minorHAnsi"/>
          <w:b/>
          <w:sz w:val="22"/>
          <w:szCs w:val="22"/>
        </w:rPr>
        <w:t>vrijednosti</w:t>
      </w:r>
      <w:proofErr w:type="spellEnd"/>
    </w:p>
    <w:p w14:paraId="4687FC4A" w14:textId="77777777" w:rsidR="00D674BE" w:rsidRDefault="005E5645" w:rsidP="00D674B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Vrijednost nematerijalne proizvedene imovine na kraju obračunskog razdoblja iznosi </w:t>
      </w:r>
      <w:r w:rsidR="00D674BE" w:rsidRPr="00D674BE">
        <w:rPr>
          <w:rFonts w:ascii="Aptos" w:hAnsi="Aptos" w:cstheme="minorHAnsi"/>
          <w:sz w:val="22"/>
          <w:szCs w:val="22"/>
        </w:rPr>
        <w:t>264.804,64 €,</w:t>
      </w:r>
      <w:r w:rsidRPr="00D674BE">
        <w:rPr>
          <w:rFonts w:ascii="Aptos" w:hAnsi="Aptos" w:cstheme="minorHAnsi"/>
          <w:sz w:val="22"/>
          <w:szCs w:val="22"/>
        </w:rPr>
        <w:t xml:space="preserve"> što je u odnosu na istu imovinu u 202</w:t>
      </w:r>
      <w:r w:rsidR="00D674BE" w:rsidRPr="00D674BE">
        <w:rPr>
          <w:rFonts w:ascii="Aptos" w:hAnsi="Aptos" w:cstheme="minorHAnsi"/>
          <w:sz w:val="22"/>
          <w:szCs w:val="22"/>
        </w:rPr>
        <w:t>2</w:t>
      </w:r>
      <w:r w:rsidRPr="00D674BE">
        <w:rPr>
          <w:rFonts w:ascii="Aptos" w:hAnsi="Aptos" w:cstheme="minorHAnsi"/>
          <w:sz w:val="22"/>
          <w:szCs w:val="22"/>
        </w:rPr>
        <w:t xml:space="preserve">. godini  </w:t>
      </w:r>
      <w:r w:rsidR="00D674BE" w:rsidRPr="00D674BE">
        <w:rPr>
          <w:rFonts w:ascii="Aptos" w:hAnsi="Aptos" w:cstheme="minorHAnsi"/>
          <w:sz w:val="22"/>
          <w:szCs w:val="22"/>
        </w:rPr>
        <w:t>više za 8,5%.</w:t>
      </w:r>
    </w:p>
    <w:p w14:paraId="16FB70E9" w14:textId="630EB6CF" w:rsidR="005E5645" w:rsidRPr="00F61B8D" w:rsidRDefault="005E5645" w:rsidP="00D674B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Tijekom 202</w:t>
      </w:r>
      <w:r w:rsidR="00573813">
        <w:rPr>
          <w:rFonts w:ascii="Aptos" w:hAnsi="Aptos" w:cstheme="minorHAnsi"/>
          <w:sz w:val="22"/>
          <w:szCs w:val="22"/>
        </w:rPr>
        <w:t>3</w:t>
      </w:r>
      <w:r w:rsidRPr="00F61B8D">
        <w:rPr>
          <w:rFonts w:ascii="Aptos" w:hAnsi="Aptos" w:cstheme="minorHAnsi"/>
          <w:sz w:val="22"/>
          <w:szCs w:val="22"/>
        </w:rPr>
        <w:t xml:space="preserve">. godine nabavljena je razna programska i projektna dokumentacija u vrijednosti od </w:t>
      </w:r>
      <w:r w:rsidR="00573813">
        <w:rPr>
          <w:rFonts w:ascii="Aptos" w:hAnsi="Aptos" w:cstheme="minorHAnsi"/>
          <w:sz w:val="22"/>
          <w:szCs w:val="22"/>
        </w:rPr>
        <w:t>74.776,68 €</w:t>
      </w:r>
      <w:r w:rsidRPr="00F61B8D">
        <w:rPr>
          <w:rFonts w:ascii="Aptos" w:hAnsi="Aptos" w:cstheme="minorHAnsi"/>
          <w:sz w:val="22"/>
          <w:szCs w:val="22"/>
        </w:rPr>
        <w:t xml:space="preserve">, </w:t>
      </w:r>
      <w:r w:rsidR="00573813">
        <w:rPr>
          <w:rFonts w:ascii="Aptos" w:hAnsi="Aptos" w:cstheme="minorHAnsi"/>
          <w:sz w:val="22"/>
          <w:szCs w:val="22"/>
        </w:rPr>
        <w:t xml:space="preserve">kao što su </w:t>
      </w:r>
      <w:r w:rsidRPr="00F61B8D">
        <w:rPr>
          <w:rFonts w:ascii="Aptos" w:hAnsi="Aptos" w:cstheme="minorHAnsi"/>
          <w:sz w:val="22"/>
          <w:szCs w:val="22"/>
        </w:rPr>
        <w:t xml:space="preserve">novi računalni programi </w:t>
      </w:r>
      <w:r w:rsidR="00573813">
        <w:rPr>
          <w:rFonts w:ascii="Aptos" w:hAnsi="Aptos" w:cstheme="minorHAnsi"/>
          <w:sz w:val="22"/>
          <w:szCs w:val="22"/>
        </w:rPr>
        <w:t>nabavljeni uslijed usklađenja s novom zakonskom regulativom</w:t>
      </w:r>
      <w:r w:rsidRPr="00F61B8D">
        <w:rPr>
          <w:rFonts w:ascii="Aptos" w:hAnsi="Aptos" w:cstheme="minorHAnsi"/>
          <w:sz w:val="22"/>
          <w:szCs w:val="22"/>
        </w:rPr>
        <w:t>,</w:t>
      </w:r>
      <w:r w:rsidR="00914E09">
        <w:rPr>
          <w:rFonts w:ascii="Aptos" w:hAnsi="Aptos" w:cstheme="minorHAnsi"/>
          <w:sz w:val="22"/>
          <w:szCs w:val="22"/>
        </w:rPr>
        <w:t xml:space="preserve"> video materijali, zvučni zapisi i multimedijalni sadržaji u okviru opremanja interpretacijskog centra, projektna dokumentacija za Vatrogasni dom </w:t>
      </w:r>
      <w:proofErr w:type="spellStart"/>
      <w:r w:rsidR="00914E09">
        <w:rPr>
          <w:rFonts w:ascii="Aptos" w:hAnsi="Aptos" w:cstheme="minorHAnsi"/>
          <w:sz w:val="22"/>
          <w:szCs w:val="22"/>
        </w:rPr>
        <w:t>Hreljin</w:t>
      </w:r>
      <w:proofErr w:type="spellEnd"/>
      <w:r w:rsidR="00914E09">
        <w:rPr>
          <w:rFonts w:ascii="Aptos" w:hAnsi="Aptos" w:cstheme="minorHAnsi"/>
          <w:sz w:val="22"/>
          <w:szCs w:val="22"/>
        </w:rPr>
        <w:t xml:space="preserve">, izmjene i dopune </w:t>
      </w:r>
      <w:r w:rsidRPr="00F61B8D">
        <w:rPr>
          <w:rFonts w:ascii="Aptos" w:hAnsi="Aptos" w:cstheme="minorHAnsi"/>
          <w:sz w:val="22"/>
          <w:szCs w:val="22"/>
        </w:rPr>
        <w:t xml:space="preserve">Prostornog plana uređenja </w:t>
      </w:r>
      <w:r w:rsidR="00914E09">
        <w:rPr>
          <w:rFonts w:ascii="Aptos" w:hAnsi="Aptos" w:cstheme="minorHAnsi"/>
          <w:sz w:val="22"/>
          <w:szCs w:val="22"/>
        </w:rPr>
        <w:t>i Urbanističkog plana UPU 3 – dio Zone te analiza upravljanja komunalnom infrastrukturom.</w:t>
      </w:r>
    </w:p>
    <w:p w14:paraId="103B1413" w14:textId="43BBAAFE" w:rsidR="005E5645" w:rsidRPr="00D674BE" w:rsidRDefault="00D674BE" w:rsidP="00966A1C">
      <w:pPr>
        <w:spacing w:before="60" w:after="60"/>
        <w:ind w:left="-425" w:right="-380" w:firstLine="284"/>
        <w:jc w:val="both"/>
        <w:rPr>
          <w:rFonts w:ascii="Aptos" w:hAnsi="Aptos" w:cstheme="minorHAnsi"/>
          <w:sz w:val="22"/>
          <w:szCs w:val="22"/>
        </w:rPr>
      </w:pPr>
      <w:r>
        <w:rPr>
          <w:rFonts w:ascii="Aptos" w:hAnsi="Aptos" w:cstheme="minorHAnsi"/>
          <w:sz w:val="22"/>
          <w:szCs w:val="22"/>
        </w:rPr>
        <w:t>S</w:t>
      </w:r>
      <w:r w:rsidR="005E5645" w:rsidRPr="00D674BE">
        <w:rPr>
          <w:rFonts w:ascii="Aptos" w:hAnsi="Aptos" w:cstheme="minorHAnsi"/>
          <w:sz w:val="22"/>
          <w:szCs w:val="22"/>
        </w:rPr>
        <w:t>tanje</w:t>
      </w:r>
      <w:r>
        <w:rPr>
          <w:rFonts w:ascii="Aptos" w:hAnsi="Aptos" w:cstheme="minorHAnsi"/>
          <w:sz w:val="22"/>
          <w:szCs w:val="22"/>
        </w:rPr>
        <w:t xml:space="preserve"> ispravka vrijednosti nematerijalne proizvedene imovine</w:t>
      </w:r>
      <w:r w:rsidR="005E5645" w:rsidRPr="00D674BE">
        <w:rPr>
          <w:rFonts w:ascii="Aptos" w:hAnsi="Aptos" w:cstheme="minorHAnsi"/>
          <w:sz w:val="22"/>
          <w:szCs w:val="22"/>
        </w:rPr>
        <w:t xml:space="preserve"> na kraju obračunskog razdoblja  </w:t>
      </w:r>
      <w:r>
        <w:rPr>
          <w:rFonts w:ascii="Aptos" w:hAnsi="Aptos" w:cstheme="minorHAnsi"/>
          <w:sz w:val="22"/>
          <w:szCs w:val="22"/>
        </w:rPr>
        <w:t>iznosi 1.775.061,59 €</w:t>
      </w:r>
      <w:r w:rsidR="005E5645" w:rsidRPr="00D674BE">
        <w:rPr>
          <w:rFonts w:ascii="Aptos" w:hAnsi="Aptos" w:cstheme="minorHAnsi"/>
          <w:sz w:val="22"/>
          <w:szCs w:val="22"/>
        </w:rPr>
        <w:t xml:space="preserve">. </w:t>
      </w:r>
    </w:p>
    <w:p w14:paraId="1FF643AE" w14:textId="5DEE193C" w:rsidR="00914E09" w:rsidRPr="00914E09" w:rsidRDefault="00F41919" w:rsidP="00914E09">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14.</w:t>
      </w:r>
    </w:p>
    <w:p w14:paraId="22554DDD" w14:textId="3231221C" w:rsidR="00914E09" w:rsidRDefault="00914E09" w:rsidP="00914E09">
      <w:pPr>
        <w:pStyle w:val="Tijeloteksta-uvlaka3"/>
        <w:spacing w:before="60" w:after="60"/>
        <w:ind w:left="-426" w:firstLine="0"/>
        <w:rPr>
          <w:rFonts w:ascii="Aptos" w:hAnsi="Aptos" w:cstheme="minorHAnsi"/>
          <w:b/>
          <w:sz w:val="22"/>
          <w:szCs w:val="22"/>
        </w:rPr>
      </w:pPr>
      <w:r w:rsidRPr="00914E09">
        <w:rPr>
          <w:rFonts w:ascii="Aptos" w:hAnsi="Aptos" w:cstheme="minorHAnsi"/>
          <w:b/>
          <w:sz w:val="22"/>
          <w:szCs w:val="22"/>
        </w:rPr>
        <w:t xml:space="preserve">ŠIFRA 03 – </w:t>
      </w:r>
      <w:proofErr w:type="spellStart"/>
      <w:r w:rsidRPr="00914E09">
        <w:rPr>
          <w:rFonts w:ascii="Aptos" w:hAnsi="Aptos" w:cstheme="minorHAnsi"/>
          <w:b/>
          <w:sz w:val="22"/>
          <w:szCs w:val="22"/>
        </w:rPr>
        <w:t>Plemeniti</w:t>
      </w:r>
      <w:proofErr w:type="spellEnd"/>
      <w:r w:rsidRPr="00914E09">
        <w:rPr>
          <w:rFonts w:ascii="Aptos" w:hAnsi="Aptos" w:cstheme="minorHAnsi"/>
          <w:b/>
          <w:sz w:val="22"/>
          <w:szCs w:val="22"/>
        </w:rPr>
        <w:t xml:space="preserve"> </w:t>
      </w:r>
      <w:proofErr w:type="spellStart"/>
      <w:r w:rsidRPr="00914E09">
        <w:rPr>
          <w:rFonts w:ascii="Aptos" w:hAnsi="Aptos" w:cstheme="minorHAnsi"/>
          <w:b/>
          <w:sz w:val="22"/>
          <w:szCs w:val="22"/>
        </w:rPr>
        <w:t>metali</w:t>
      </w:r>
      <w:proofErr w:type="spellEnd"/>
      <w:r w:rsidRPr="00914E09">
        <w:rPr>
          <w:rFonts w:ascii="Aptos" w:hAnsi="Aptos" w:cstheme="minorHAnsi"/>
          <w:b/>
          <w:sz w:val="22"/>
          <w:szCs w:val="22"/>
        </w:rPr>
        <w:t xml:space="preserve"> </w:t>
      </w:r>
      <w:proofErr w:type="spellStart"/>
      <w:r w:rsidRPr="00914E09">
        <w:rPr>
          <w:rFonts w:ascii="Aptos" w:hAnsi="Aptos" w:cstheme="minorHAnsi"/>
          <w:b/>
          <w:sz w:val="22"/>
          <w:szCs w:val="22"/>
        </w:rPr>
        <w:t>i</w:t>
      </w:r>
      <w:proofErr w:type="spellEnd"/>
      <w:r w:rsidRPr="00914E09">
        <w:rPr>
          <w:rFonts w:ascii="Aptos" w:hAnsi="Aptos" w:cstheme="minorHAnsi"/>
          <w:b/>
          <w:sz w:val="22"/>
          <w:szCs w:val="22"/>
        </w:rPr>
        <w:t xml:space="preserve"> </w:t>
      </w:r>
      <w:proofErr w:type="spellStart"/>
      <w:r w:rsidRPr="00914E09">
        <w:rPr>
          <w:rFonts w:ascii="Aptos" w:hAnsi="Aptos" w:cstheme="minorHAnsi"/>
          <w:b/>
          <w:sz w:val="22"/>
          <w:szCs w:val="22"/>
        </w:rPr>
        <w:t>ostale</w:t>
      </w:r>
      <w:proofErr w:type="spellEnd"/>
      <w:r w:rsidRPr="00914E09">
        <w:rPr>
          <w:rFonts w:ascii="Aptos" w:hAnsi="Aptos" w:cstheme="minorHAnsi"/>
          <w:b/>
          <w:sz w:val="22"/>
          <w:szCs w:val="22"/>
        </w:rPr>
        <w:t xml:space="preserve"> </w:t>
      </w:r>
      <w:proofErr w:type="spellStart"/>
      <w:r w:rsidRPr="00914E09">
        <w:rPr>
          <w:rFonts w:ascii="Aptos" w:hAnsi="Aptos" w:cstheme="minorHAnsi"/>
          <w:b/>
          <w:sz w:val="22"/>
          <w:szCs w:val="22"/>
        </w:rPr>
        <w:t>pohranjene</w:t>
      </w:r>
      <w:proofErr w:type="spellEnd"/>
      <w:r w:rsidRPr="00914E09">
        <w:rPr>
          <w:rFonts w:ascii="Aptos" w:hAnsi="Aptos" w:cstheme="minorHAnsi"/>
          <w:b/>
          <w:sz w:val="22"/>
          <w:szCs w:val="22"/>
        </w:rPr>
        <w:t xml:space="preserve"> </w:t>
      </w:r>
      <w:proofErr w:type="spellStart"/>
      <w:r w:rsidRPr="00914E09">
        <w:rPr>
          <w:rFonts w:ascii="Aptos" w:hAnsi="Aptos" w:cstheme="minorHAnsi"/>
          <w:b/>
          <w:sz w:val="22"/>
          <w:szCs w:val="22"/>
        </w:rPr>
        <w:t>vrijednosti</w:t>
      </w:r>
      <w:proofErr w:type="spellEnd"/>
    </w:p>
    <w:p w14:paraId="1C85167A" w14:textId="11B0497E" w:rsidR="00914E09" w:rsidRDefault="00914E09" w:rsidP="00914E09">
      <w:pPr>
        <w:spacing w:before="60" w:after="60"/>
        <w:ind w:left="-425" w:right="-380" w:firstLine="284"/>
        <w:jc w:val="both"/>
        <w:rPr>
          <w:rFonts w:ascii="Aptos" w:hAnsi="Aptos" w:cstheme="minorHAnsi"/>
          <w:sz w:val="22"/>
          <w:szCs w:val="22"/>
        </w:rPr>
      </w:pPr>
      <w:r w:rsidRPr="00914E09">
        <w:rPr>
          <w:rFonts w:ascii="Aptos" w:hAnsi="Aptos" w:cstheme="minorHAnsi"/>
          <w:sz w:val="22"/>
          <w:szCs w:val="22"/>
        </w:rPr>
        <w:t xml:space="preserve">U okviru kapitalnog projekta rekonstrukcije Etno kuće Marohnić na </w:t>
      </w:r>
      <w:proofErr w:type="spellStart"/>
      <w:r w:rsidRPr="00914E09">
        <w:rPr>
          <w:rFonts w:ascii="Aptos" w:hAnsi="Aptos" w:cstheme="minorHAnsi"/>
          <w:sz w:val="22"/>
          <w:szCs w:val="22"/>
        </w:rPr>
        <w:t>Hreljinu</w:t>
      </w:r>
      <w:proofErr w:type="spellEnd"/>
      <w:r>
        <w:rPr>
          <w:rFonts w:ascii="Aptos" w:hAnsi="Aptos" w:cstheme="minorHAnsi"/>
          <w:sz w:val="22"/>
          <w:szCs w:val="22"/>
        </w:rPr>
        <w:t xml:space="preserve"> nabavljeno je ostalih pohranjenih vrijednosti u iznosu od 7.023,98 € koje se odnose na izradu modela portreta Josipa </w:t>
      </w:r>
      <w:proofErr w:type="spellStart"/>
      <w:r>
        <w:rPr>
          <w:rFonts w:ascii="Aptos" w:hAnsi="Aptos" w:cstheme="minorHAnsi"/>
          <w:sz w:val="22"/>
          <w:szCs w:val="22"/>
        </w:rPr>
        <w:t>Marohnića</w:t>
      </w:r>
      <w:proofErr w:type="spellEnd"/>
      <w:r>
        <w:rPr>
          <w:rFonts w:ascii="Aptos" w:hAnsi="Aptos" w:cstheme="minorHAnsi"/>
          <w:sz w:val="22"/>
          <w:szCs w:val="22"/>
        </w:rPr>
        <w:t>.</w:t>
      </w:r>
      <w:r w:rsidRPr="00914E09">
        <w:rPr>
          <w:rFonts w:ascii="Aptos" w:hAnsi="Aptos" w:cstheme="minorHAnsi"/>
          <w:sz w:val="22"/>
          <w:szCs w:val="22"/>
        </w:rPr>
        <w:t xml:space="preserve"> </w:t>
      </w:r>
    </w:p>
    <w:p w14:paraId="63E3A454" w14:textId="795DD863" w:rsidR="0008374B" w:rsidRPr="0008374B" w:rsidRDefault="0008374B" w:rsidP="0008374B">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w:t>
      </w:r>
      <w:r>
        <w:rPr>
          <w:rFonts w:ascii="Aptos" w:hAnsi="Aptos" w:cs="Calibri"/>
          <w:b/>
          <w:bCs/>
          <w:color w:val="000000"/>
          <w:sz w:val="22"/>
          <w:szCs w:val="22"/>
        </w:rPr>
        <w:t>5</w:t>
      </w:r>
      <w:r w:rsidRPr="00F61B8D">
        <w:rPr>
          <w:rFonts w:ascii="Aptos" w:hAnsi="Aptos" w:cs="Calibri"/>
          <w:b/>
          <w:bCs/>
          <w:color w:val="000000"/>
          <w:sz w:val="22"/>
          <w:szCs w:val="22"/>
        </w:rPr>
        <w:t>.</w:t>
      </w:r>
    </w:p>
    <w:p w14:paraId="708780C1" w14:textId="2D00FFF4" w:rsidR="00914E09" w:rsidRPr="00F61B8D" w:rsidRDefault="00914E09" w:rsidP="00914E09">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 xml:space="preserve">ŠIFRA 042 - 049 </w:t>
      </w:r>
      <w:proofErr w:type="spellStart"/>
      <w:r w:rsidRPr="00F61B8D">
        <w:rPr>
          <w:rFonts w:ascii="Aptos" w:hAnsi="Aptos" w:cstheme="minorHAnsi"/>
          <w:b/>
          <w:sz w:val="22"/>
          <w:szCs w:val="22"/>
        </w:rPr>
        <w:t>Sitni</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inventar</w:t>
      </w:r>
      <w:proofErr w:type="spellEnd"/>
      <w:r w:rsidR="00152895">
        <w:rPr>
          <w:rFonts w:ascii="Aptos" w:hAnsi="Aptos" w:cstheme="minorHAnsi"/>
          <w:b/>
          <w:sz w:val="22"/>
          <w:szCs w:val="22"/>
        </w:rPr>
        <w:t xml:space="preserve"> </w:t>
      </w:r>
      <w:proofErr w:type="spellStart"/>
      <w:r w:rsidR="00152895">
        <w:rPr>
          <w:rFonts w:ascii="Aptos" w:hAnsi="Aptos" w:cstheme="minorHAnsi"/>
          <w:b/>
          <w:sz w:val="22"/>
          <w:szCs w:val="22"/>
        </w:rPr>
        <w:t>i</w:t>
      </w:r>
      <w:proofErr w:type="spellEnd"/>
      <w:r w:rsidR="00152895">
        <w:rPr>
          <w:rFonts w:ascii="Aptos" w:hAnsi="Aptos" w:cstheme="minorHAnsi"/>
          <w:b/>
          <w:sz w:val="22"/>
          <w:szCs w:val="22"/>
        </w:rPr>
        <w:t xml:space="preserve"> auto </w:t>
      </w:r>
      <w:proofErr w:type="spellStart"/>
      <w:r w:rsidR="00152895">
        <w:rPr>
          <w:rFonts w:ascii="Aptos" w:hAnsi="Aptos" w:cstheme="minorHAnsi"/>
          <w:b/>
          <w:sz w:val="22"/>
          <w:szCs w:val="22"/>
        </w:rPr>
        <w:t>gume</w:t>
      </w:r>
      <w:proofErr w:type="spellEnd"/>
      <w:r w:rsidR="00152895">
        <w:rPr>
          <w:rFonts w:ascii="Aptos" w:hAnsi="Aptos" w:cstheme="minorHAnsi"/>
          <w:b/>
          <w:sz w:val="22"/>
          <w:szCs w:val="22"/>
        </w:rPr>
        <w:t xml:space="preserve"> u </w:t>
      </w:r>
      <w:proofErr w:type="spellStart"/>
      <w:r w:rsidR="00152895">
        <w:rPr>
          <w:rFonts w:ascii="Aptos" w:hAnsi="Aptos" w:cstheme="minorHAnsi"/>
          <w:b/>
          <w:sz w:val="22"/>
          <w:szCs w:val="22"/>
        </w:rPr>
        <w:t>upotrebi</w:t>
      </w:r>
      <w:proofErr w:type="spellEnd"/>
    </w:p>
    <w:p w14:paraId="1C335B67" w14:textId="77777777" w:rsidR="0008374B" w:rsidRDefault="00914E09" w:rsidP="00914E09">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 202</w:t>
      </w:r>
      <w:r w:rsidR="0008374B">
        <w:rPr>
          <w:rFonts w:ascii="Aptos" w:hAnsi="Aptos" w:cstheme="minorHAnsi"/>
          <w:sz w:val="22"/>
          <w:szCs w:val="22"/>
        </w:rPr>
        <w:t>3</w:t>
      </w:r>
      <w:r w:rsidRPr="00F61B8D">
        <w:rPr>
          <w:rFonts w:ascii="Aptos" w:hAnsi="Aptos" w:cstheme="minorHAnsi"/>
          <w:sz w:val="22"/>
          <w:szCs w:val="22"/>
        </w:rPr>
        <w:t xml:space="preserve">. godini za potrebe gradske uprave nabavljen je sitan inventar u vrijednosti od </w:t>
      </w:r>
      <w:r w:rsidR="0008374B">
        <w:rPr>
          <w:rFonts w:ascii="Aptos" w:hAnsi="Aptos" w:cstheme="minorHAnsi"/>
          <w:sz w:val="22"/>
          <w:szCs w:val="22"/>
        </w:rPr>
        <w:t>1.707,90 €, dok je u postupku godišnjeg popisa imovine, obveza i potraživanja otpisano rashodovanog sitnog inventara u vrijednosti 358,91 €</w:t>
      </w:r>
      <w:r w:rsidRPr="00F61B8D">
        <w:rPr>
          <w:rFonts w:ascii="Aptos" w:hAnsi="Aptos" w:cstheme="minorHAnsi"/>
          <w:sz w:val="22"/>
          <w:szCs w:val="22"/>
        </w:rPr>
        <w:t xml:space="preserve">. </w:t>
      </w:r>
    </w:p>
    <w:p w14:paraId="19772FF7" w14:textId="1F1A5578" w:rsidR="00914E09" w:rsidRPr="00152895" w:rsidRDefault="00914E09" w:rsidP="0008374B">
      <w:pPr>
        <w:spacing w:before="60" w:after="60"/>
        <w:ind w:left="-425" w:right="-380" w:firstLine="284"/>
        <w:jc w:val="both"/>
        <w:rPr>
          <w:rFonts w:ascii="Aptos" w:hAnsi="Aptos" w:cstheme="minorHAnsi"/>
          <w:sz w:val="22"/>
          <w:szCs w:val="22"/>
        </w:rPr>
      </w:pPr>
      <w:r w:rsidRPr="00152895">
        <w:rPr>
          <w:rFonts w:ascii="Aptos" w:hAnsi="Aptos" w:cstheme="minorHAnsi"/>
          <w:sz w:val="22"/>
          <w:szCs w:val="22"/>
        </w:rPr>
        <w:t>Ukupna  nabavna vrijednost sitnog inventara na dan 31.12.202</w:t>
      </w:r>
      <w:r w:rsidR="00152895">
        <w:rPr>
          <w:rFonts w:ascii="Aptos" w:hAnsi="Aptos" w:cstheme="minorHAnsi"/>
          <w:sz w:val="22"/>
          <w:szCs w:val="22"/>
        </w:rPr>
        <w:t>3</w:t>
      </w:r>
      <w:r w:rsidRPr="00152895">
        <w:rPr>
          <w:rFonts w:ascii="Aptos" w:hAnsi="Aptos" w:cstheme="minorHAnsi"/>
          <w:sz w:val="22"/>
          <w:szCs w:val="22"/>
        </w:rPr>
        <w:t xml:space="preserve">. godine iznosi </w:t>
      </w:r>
      <w:r w:rsidR="00152895">
        <w:rPr>
          <w:rFonts w:ascii="Aptos" w:hAnsi="Aptos" w:cstheme="minorHAnsi"/>
          <w:sz w:val="22"/>
          <w:szCs w:val="22"/>
        </w:rPr>
        <w:t xml:space="preserve">79.676,86 €, a </w:t>
      </w:r>
      <w:r w:rsidRPr="00152895">
        <w:rPr>
          <w:rFonts w:ascii="Aptos" w:hAnsi="Aptos" w:cstheme="minorHAnsi"/>
          <w:sz w:val="22"/>
          <w:szCs w:val="22"/>
        </w:rPr>
        <w:t xml:space="preserve"> ispravak vrijednosti obračunat </w:t>
      </w:r>
      <w:r w:rsidR="00152895">
        <w:rPr>
          <w:rFonts w:ascii="Aptos" w:hAnsi="Aptos" w:cstheme="minorHAnsi"/>
          <w:sz w:val="22"/>
          <w:szCs w:val="22"/>
        </w:rPr>
        <w:t>je u</w:t>
      </w:r>
      <w:r w:rsidRPr="00152895">
        <w:rPr>
          <w:rFonts w:ascii="Aptos" w:hAnsi="Aptos" w:cstheme="minorHAnsi"/>
          <w:sz w:val="22"/>
          <w:szCs w:val="22"/>
        </w:rPr>
        <w:t xml:space="preserve"> </w:t>
      </w:r>
      <w:r w:rsidR="00152895">
        <w:rPr>
          <w:rFonts w:ascii="Aptos" w:hAnsi="Aptos" w:cstheme="minorHAnsi"/>
          <w:sz w:val="22"/>
          <w:szCs w:val="22"/>
        </w:rPr>
        <w:t xml:space="preserve">iznosu od </w:t>
      </w:r>
      <w:r w:rsidRPr="00152895">
        <w:rPr>
          <w:rFonts w:ascii="Aptos" w:hAnsi="Aptos" w:cstheme="minorHAnsi"/>
          <w:sz w:val="22"/>
          <w:szCs w:val="22"/>
        </w:rPr>
        <w:t>100%.</w:t>
      </w:r>
    </w:p>
    <w:p w14:paraId="6B8B22EF" w14:textId="32C7B773"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w:t>
      </w:r>
      <w:r w:rsidR="0008374B">
        <w:rPr>
          <w:rFonts w:ascii="Aptos" w:hAnsi="Aptos" w:cs="Calibri"/>
          <w:b/>
          <w:bCs/>
          <w:color w:val="000000"/>
          <w:sz w:val="22"/>
          <w:szCs w:val="22"/>
        </w:rPr>
        <w:t>6</w:t>
      </w:r>
      <w:r w:rsidRPr="00F61B8D">
        <w:rPr>
          <w:rFonts w:ascii="Aptos" w:hAnsi="Aptos" w:cs="Calibri"/>
          <w:b/>
          <w:bCs/>
          <w:color w:val="000000"/>
          <w:sz w:val="22"/>
          <w:szCs w:val="22"/>
        </w:rPr>
        <w:t>.</w:t>
      </w:r>
    </w:p>
    <w:p w14:paraId="4AE1F520" w14:textId="521E8BDD" w:rsidR="005E5645" w:rsidRPr="00F61B8D" w:rsidRDefault="005E5645" w:rsidP="00966A1C">
      <w:pPr>
        <w:pStyle w:val="Tijeloteksta-uvlaka3"/>
        <w:spacing w:before="60" w:after="60"/>
        <w:ind w:left="-426" w:firstLine="0"/>
        <w:rPr>
          <w:rFonts w:ascii="Aptos" w:hAnsi="Aptos" w:cstheme="minorHAnsi"/>
          <w:b/>
          <w:sz w:val="22"/>
          <w:szCs w:val="22"/>
        </w:rPr>
      </w:pPr>
      <w:r w:rsidRPr="00F61B8D">
        <w:rPr>
          <w:rFonts w:ascii="Aptos" w:hAnsi="Aptos" w:cstheme="minorHAnsi"/>
          <w:b/>
          <w:sz w:val="22"/>
          <w:szCs w:val="22"/>
        </w:rPr>
        <w:t>ŠIFRA 05</w:t>
      </w:r>
      <w:r w:rsidR="00966A1C" w:rsidRPr="00F61B8D">
        <w:rPr>
          <w:rFonts w:ascii="Aptos" w:hAnsi="Aptos" w:cstheme="minorHAnsi"/>
          <w:b/>
          <w:sz w:val="22"/>
          <w:szCs w:val="22"/>
        </w:rPr>
        <w:t xml:space="preserve"> - </w:t>
      </w:r>
      <w:proofErr w:type="spellStart"/>
      <w:r w:rsidRPr="00F61B8D">
        <w:rPr>
          <w:rFonts w:ascii="Aptos" w:hAnsi="Aptos" w:cstheme="minorHAnsi"/>
          <w:b/>
          <w:sz w:val="22"/>
          <w:szCs w:val="22"/>
        </w:rPr>
        <w:t>Dugotrajna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nefinancijska</w:t>
      </w:r>
      <w:proofErr w:type="spellEnd"/>
      <w:r w:rsidRPr="00F61B8D">
        <w:rPr>
          <w:rFonts w:ascii="Aptos" w:hAnsi="Aptos" w:cstheme="minorHAnsi"/>
          <w:b/>
          <w:sz w:val="22"/>
          <w:szCs w:val="22"/>
        </w:rPr>
        <w:t xml:space="preserve"> </w:t>
      </w:r>
      <w:proofErr w:type="spellStart"/>
      <w:r w:rsidRPr="00F61B8D">
        <w:rPr>
          <w:rFonts w:ascii="Aptos" w:hAnsi="Aptos" w:cstheme="minorHAnsi"/>
          <w:b/>
          <w:sz w:val="22"/>
          <w:szCs w:val="22"/>
        </w:rPr>
        <w:t>imovina</w:t>
      </w:r>
      <w:proofErr w:type="spellEnd"/>
      <w:r w:rsidRPr="00F61B8D">
        <w:rPr>
          <w:rFonts w:ascii="Aptos" w:hAnsi="Aptos" w:cstheme="minorHAnsi"/>
          <w:b/>
          <w:sz w:val="22"/>
          <w:szCs w:val="22"/>
        </w:rPr>
        <w:t xml:space="preserve"> u </w:t>
      </w:r>
      <w:proofErr w:type="spellStart"/>
      <w:r w:rsidRPr="00F61B8D">
        <w:rPr>
          <w:rFonts w:ascii="Aptos" w:hAnsi="Aptos" w:cstheme="minorHAnsi"/>
          <w:b/>
          <w:sz w:val="22"/>
          <w:szCs w:val="22"/>
        </w:rPr>
        <w:t>pripremi</w:t>
      </w:r>
      <w:proofErr w:type="spellEnd"/>
      <w:r w:rsidRPr="00F61B8D">
        <w:rPr>
          <w:rFonts w:ascii="Aptos" w:hAnsi="Aptos" w:cstheme="minorHAnsi"/>
          <w:b/>
          <w:sz w:val="22"/>
          <w:szCs w:val="22"/>
        </w:rPr>
        <w:t xml:space="preserve">  </w:t>
      </w:r>
    </w:p>
    <w:p w14:paraId="3A60652B" w14:textId="77777777" w:rsidR="0008374B" w:rsidRDefault="005E5645" w:rsidP="0073735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Vrijednost  dugotrajne nefinancijske imovine u pripremi na dan 31.12.202</w:t>
      </w:r>
      <w:r w:rsidR="0008374B">
        <w:rPr>
          <w:rFonts w:ascii="Aptos" w:hAnsi="Aptos" w:cstheme="minorHAnsi"/>
          <w:sz w:val="22"/>
          <w:szCs w:val="22"/>
        </w:rPr>
        <w:t>3</w:t>
      </w:r>
      <w:r w:rsidRPr="00F61B8D">
        <w:rPr>
          <w:rFonts w:ascii="Aptos" w:hAnsi="Aptos" w:cstheme="minorHAnsi"/>
          <w:sz w:val="22"/>
          <w:szCs w:val="22"/>
        </w:rPr>
        <w:t xml:space="preserve">. godine ukupno iznosi </w:t>
      </w:r>
      <w:r w:rsidR="0008374B">
        <w:rPr>
          <w:rFonts w:ascii="Aptos" w:hAnsi="Aptos" w:cstheme="minorHAnsi"/>
          <w:sz w:val="22"/>
          <w:szCs w:val="22"/>
        </w:rPr>
        <w:t>9.182.385,41 €</w:t>
      </w:r>
      <w:r w:rsidRPr="00F61B8D">
        <w:rPr>
          <w:rFonts w:ascii="Aptos" w:hAnsi="Aptos" w:cstheme="minorHAnsi"/>
          <w:sz w:val="22"/>
          <w:szCs w:val="22"/>
        </w:rPr>
        <w:t xml:space="preserve">.  </w:t>
      </w:r>
    </w:p>
    <w:p w14:paraId="42F85F93" w14:textId="39442068" w:rsidR="00152895" w:rsidRDefault="005E5645" w:rsidP="00152895">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Tijekom 202</w:t>
      </w:r>
      <w:r w:rsidR="0008374B">
        <w:rPr>
          <w:rFonts w:ascii="Aptos" w:hAnsi="Aptos" w:cstheme="minorHAnsi"/>
          <w:sz w:val="22"/>
          <w:szCs w:val="22"/>
        </w:rPr>
        <w:t>3</w:t>
      </w:r>
      <w:r w:rsidRPr="00F61B8D">
        <w:rPr>
          <w:rFonts w:ascii="Aptos" w:hAnsi="Aptos" w:cstheme="minorHAnsi"/>
          <w:sz w:val="22"/>
          <w:szCs w:val="22"/>
        </w:rPr>
        <w:t xml:space="preserve">. godini </w:t>
      </w:r>
      <w:r w:rsidR="00D74770">
        <w:rPr>
          <w:rFonts w:ascii="Aptos" w:hAnsi="Aptos" w:cstheme="minorHAnsi"/>
          <w:sz w:val="22"/>
          <w:szCs w:val="22"/>
        </w:rPr>
        <w:t xml:space="preserve">nastavljeni su odnosno </w:t>
      </w:r>
      <w:r w:rsidRPr="00F61B8D">
        <w:rPr>
          <w:rFonts w:ascii="Aptos" w:hAnsi="Aptos" w:cstheme="minorHAnsi"/>
          <w:sz w:val="22"/>
          <w:szCs w:val="22"/>
        </w:rPr>
        <w:t>započeti su radovi na slijedećim objektima:</w:t>
      </w:r>
      <w:r w:rsidR="0008374B">
        <w:rPr>
          <w:rFonts w:ascii="Aptos" w:hAnsi="Aptos" w:cstheme="minorHAnsi"/>
          <w:sz w:val="22"/>
          <w:szCs w:val="22"/>
        </w:rPr>
        <w:t xml:space="preserve"> </w:t>
      </w:r>
      <w:r w:rsidRPr="00F61B8D">
        <w:rPr>
          <w:rFonts w:ascii="Aptos" w:hAnsi="Aptos" w:cstheme="minorHAnsi"/>
          <w:sz w:val="22"/>
          <w:szCs w:val="22"/>
        </w:rPr>
        <w:t>izgradnja prometnice za plato B6.2</w:t>
      </w:r>
      <w:r w:rsidR="00D74770">
        <w:rPr>
          <w:rFonts w:ascii="Aptos" w:hAnsi="Aptos" w:cstheme="minorHAnsi"/>
          <w:sz w:val="22"/>
          <w:szCs w:val="22"/>
        </w:rPr>
        <w:t xml:space="preserve">, </w:t>
      </w:r>
      <w:r w:rsidRPr="00F61B8D">
        <w:rPr>
          <w:rFonts w:ascii="Aptos" w:hAnsi="Aptos" w:cstheme="minorHAnsi"/>
          <w:sz w:val="22"/>
          <w:szCs w:val="22"/>
        </w:rPr>
        <w:t xml:space="preserve">izgradnja garaže </w:t>
      </w:r>
      <w:proofErr w:type="spellStart"/>
      <w:r w:rsidRPr="00F61B8D">
        <w:rPr>
          <w:rFonts w:ascii="Aptos" w:hAnsi="Aptos" w:cstheme="minorHAnsi"/>
          <w:sz w:val="22"/>
          <w:szCs w:val="22"/>
        </w:rPr>
        <w:t>Voj</w:t>
      </w:r>
      <w:proofErr w:type="spellEnd"/>
      <w:r w:rsidRPr="00F61B8D">
        <w:rPr>
          <w:rFonts w:ascii="Aptos" w:hAnsi="Aptos" w:cstheme="minorHAnsi"/>
          <w:sz w:val="22"/>
          <w:szCs w:val="22"/>
        </w:rPr>
        <w:t xml:space="preserve"> u Bakru,</w:t>
      </w:r>
      <w:r w:rsidR="00D74770">
        <w:rPr>
          <w:rFonts w:ascii="Aptos" w:hAnsi="Aptos" w:cstheme="minorHAnsi"/>
          <w:sz w:val="22"/>
          <w:szCs w:val="22"/>
        </w:rPr>
        <w:t xml:space="preserve"> </w:t>
      </w:r>
      <w:r w:rsidR="00D74770" w:rsidRPr="00F61B8D">
        <w:rPr>
          <w:rFonts w:ascii="Aptos" w:hAnsi="Aptos" w:cstheme="minorHAnsi"/>
          <w:sz w:val="22"/>
          <w:szCs w:val="22"/>
        </w:rPr>
        <w:t>rekonstrukcija i izgradnja objekta NK Borac</w:t>
      </w:r>
      <w:r w:rsidR="00D74770">
        <w:rPr>
          <w:rFonts w:ascii="Aptos" w:hAnsi="Aptos" w:cstheme="minorHAnsi"/>
          <w:sz w:val="22"/>
          <w:szCs w:val="22"/>
        </w:rPr>
        <w:t xml:space="preserve">, </w:t>
      </w:r>
      <w:r w:rsidR="00D74770" w:rsidRPr="00F61B8D">
        <w:rPr>
          <w:rFonts w:ascii="Aptos" w:hAnsi="Aptos" w:cstheme="minorHAnsi"/>
          <w:sz w:val="22"/>
          <w:szCs w:val="22"/>
        </w:rPr>
        <w:t>restauratorski radovi na Kaštelu</w:t>
      </w:r>
      <w:r w:rsidR="00D74770">
        <w:rPr>
          <w:rFonts w:ascii="Aptos" w:hAnsi="Aptos" w:cstheme="minorHAnsi"/>
          <w:sz w:val="22"/>
          <w:szCs w:val="22"/>
        </w:rPr>
        <w:t xml:space="preserve">, </w:t>
      </w:r>
      <w:r w:rsidR="00D74770" w:rsidRPr="00F61B8D">
        <w:rPr>
          <w:rFonts w:ascii="Aptos" w:hAnsi="Aptos" w:cstheme="minorHAnsi"/>
          <w:sz w:val="22"/>
          <w:szCs w:val="22"/>
        </w:rPr>
        <w:t xml:space="preserve">uređenje Doma kulture </w:t>
      </w:r>
      <w:proofErr w:type="spellStart"/>
      <w:r w:rsidR="00D74770" w:rsidRPr="00F61B8D">
        <w:rPr>
          <w:rFonts w:ascii="Aptos" w:hAnsi="Aptos" w:cstheme="minorHAnsi"/>
          <w:sz w:val="22"/>
          <w:szCs w:val="22"/>
        </w:rPr>
        <w:t>Krasica</w:t>
      </w:r>
      <w:proofErr w:type="spellEnd"/>
      <w:r w:rsidR="00D74770">
        <w:rPr>
          <w:rFonts w:ascii="Aptos" w:hAnsi="Aptos" w:cstheme="minorHAnsi"/>
          <w:sz w:val="22"/>
          <w:szCs w:val="22"/>
        </w:rPr>
        <w:t xml:space="preserve">, a najznačajniji su radovi na </w:t>
      </w:r>
      <w:r w:rsidRPr="00F61B8D">
        <w:rPr>
          <w:rFonts w:ascii="Aptos" w:hAnsi="Aptos" w:cstheme="minorHAnsi"/>
          <w:sz w:val="22"/>
          <w:szCs w:val="22"/>
        </w:rPr>
        <w:t>izgradnj</w:t>
      </w:r>
      <w:r w:rsidR="00D74770">
        <w:rPr>
          <w:rFonts w:ascii="Aptos" w:hAnsi="Aptos" w:cstheme="minorHAnsi"/>
          <w:sz w:val="22"/>
          <w:szCs w:val="22"/>
        </w:rPr>
        <w:t>i kanalizacijskog sustava odnosno</w:t>
      </w:r>
      <w:r w:rsidRPr="00F61B8D">
        <w:rPr>
          <w:rFonts w:ascii="Aptos" w:hAnsi="Aptos" w:cstheme="minorHAnsi"/>
          <w:sz w:val="22"/>
          <w:szCs w:val="22"/>
        </w:rPr>
        <w:t xml:space="preserve"> glavnog kolektora i UPOV-a Bakar</w:t>
      </w:r>
      <w:r w:rsidR="00D74770">
        <w:rPr>
          <w:rFonts w:ascii="Aptos" w:hAnsi="Aptos" w:cstheme="minorHAnsi"/>
          <w:sz w:val="22"/>
          <w:szCs w:val="22"/>
        </w:rPr>
        <w:t>.</w:t>
      </w:r>
      <w:r w:rsidR="00152895">
        <w:rPr>
          <w:rFonts w:ascii="Aptos" w:hAnsi="Aptos" w:cstheme="minorHAnsi"/>
          <w:sz w:val="22"/>
          <w:szCs w:val="22"/>
        </w:rPr>
        <w:t xml:space="preserve"> Ukupna vrijednost radova iznosi 3.407.046,57 €.</w:t>
      </w:r>
    </w:p>
    <w:p w14:paraId="452284C0" w14:textId="3EFA745F" w:rsidR="003C20EE" w:rsidRPr="00152895" w:rsidRDefault="00152895" w:rsidP="00152895">
      <w:pPr>
        <w:spacing w:before="60" w:after="60"/>
        <w:ind w:left="-425" w:right="-380" w:firstLine="284"/>
        <w:jc w:val="both"/>
        <w:rPr>
          <w:rFonts w:ascii="Aptos" w:hAnsi="Aptos" w:cstheme="minorHAnsi"/>
          <w:sz w:val="22"/>
          <w:szCs w:val="22"/>
        </w:rPr>
      </w:pPr>
      <w:r>
        <w:rPr>
          <w:rFonts w:ascii="Aptos" w:hAnsi="Aptos" w:cstheme="minorHAnsi"/>
          <w:sz w:val="22"/>
          <w:szCs w:val="22"/>
        </w:rPr>
        <w:t>S</w:t>
      </w:r>
      <w:r w:rsidR="003C20EE" w:rsidRPr="00152895">
        <w:rPr>
          <w:rFonts w:ascii="Aptos" w:hAnsi="Aptos" w:cstheme="minorHAnsi"/>
          <w:sz w:val="22"/>
          <w:szCs w:val="22"/>
        </w:rPr>
        <w:t>ukladno izvještajima o završenim investicijama</w:t>
      </w:r>
      <w:r>
        <w:rPr>
          <w:rFonts w:ascii="Aptos" w:hAnsi="Aptos" w:cstheme="minorHAnsi"/>
          <w:sz w:val="22"/>
          <w:szCs w:val="22"/>
        </w:rPr>
        <w:t xml:space="preserve">, </w:t>
      </w:r>
      <w:r w:rsidR="003C20EE" w:rsidRPr="00152895">
        <w:rPr>
          <w:rFonts w:ascii="Aptos" w:hAnsi="Aptos" w:cstheme="minorHAnsi"/>
          <w:sz w:val="22"/>
          <w:szCs w:val="22"/>
        </w:rPr>
        <w:t>dobivenim uporabnim dozvolama</w:t>
      </w:r>
      <w:r>
        <w:rPr>
          <w:rFonts w:ascii="Aptos" w:hAnsi="Aptos" w:cstheme="minorHAnsi"/>
          <w:sz w:val="22"/>
          <w:szCs w:val="22"/>
        </w:rPr>
        <w:t xml:space="preserve"> i sličnim aktima</w:t>
      </w:r>
      <w:r w:rsidR="003C20EE" w:rsidRPr="00152895">
        <w:rPr>
          <w:rFonts w:ascii="Aptos" w:hAnsi="Aptos" w:cstheme="minorHAnsi"/>
          <w:sz w:val="22"/>
          <w:szCs w:val="22"/>
        </w:rPr>
        <w:t xml:space="preserve"> s imovine u pripremi na imovinu u uporabi </w:t>
      </w:r>
      <w:proofErr w:type="spellStart"/>
      <w:r w:rsidR="003C20EE" w:rsidRPr="00152895">
        <w:rPr>
          <w:rFonts w:ascii="Aptos" w:hAnsi="Aptos" w:cstheme="minorHAnsi"/>
          <w:sz w:val="22"/>
          <w:szCs w:val="22"/>
        </w:rPr>
        <w:t>preknjiženo</w:t>
      </w:r>
      <w:proofErr w:type="spellEnd"/>
      <w:r w:rsidR="003C20EE" w:rsidRPr="00152895">
        <w:rPr>
          <w:rFonts w:ascii="Aptos" w:hAnsi="Aptos" w:cstheme="minorHAnsi"/>
          <w:sz w:val="22"/>
          <w:szCs w:val="22"/>
        </w:rPr>
        <w:t xml:space="preserve"> je </w:t>
      </w:r>
      <w:r>
        <w:rPr>
          <w:rFonts w:ascii="Aptos" w:hAnsi="Aptos" w:cstheme="minorHAnsi"/>
          <w:sz w:val="22"/>
          <w:szCs w:val="22"/>
        </w:rPr>
        <w:t>1.502.296,71 €, pri čemu se na građevinske objekte odnosi 1.438.351,27 €, a na ostalu nematerijalnu proizvedenu imovinu 63.945,44 €.</w:t>
      </w:r>
    </w:p>
    <w:p w14:paraId="0A29BE53" w14:textId="77777777" w:rsidR="003C20EE" w:rsidRDefault="003C20EE" w:rsidP="003C20EE">
      <w:pPr>
        <w:pStyle w:val="Odlomakpopisa"/>
        <w:spacing w:before="60" w:after="60"/>
        <w:ind w:left="0" w:right="-380"/>
        <w:contextualSpacing w:val="0"/>
        <w:jc w:val="both"/>
        <w:rPr>
          <w:rFonts w:ascii="Aptos" w:hAnsi="Aptos" w:cstheme="minorHAnsi"/>
          <w:sz w:val="22"/>
          <w:szCs w:val="22"/>
        </w:rPr>
      </w:pPr>
    </w:p>
    <w:p w14:paraId="34C0023C" w14:textId="77777777" w:rsidR="003C20EE" w:rsidRPr="00F61B8D" w:rsidRDefault="003C20EE" w:rsidP="003C20EE">
      <w:pPr>
        <w:pStyle w:val="Odlomakpopisa"/>
        <w:spacing w:before="60" w:after="60"/>
        <w:ind w:left="0" w:right="-380"/>
        <w:contextualSpacing w:val="0"/>
        <w:jc w:val="both"/>
        <w:rPr>
          <w:rFonts w:ascii="Aptos" w:hAnsi="Aptos" w:cstheme="minorHAnsi"/>
          <w:sz w:val="22"/>
          <w:szCs w:val="22"/>
        </w:rPr>
      </w:pPr>
    </w:p>
    <w:p w14:paraId="3A6F734E" w14:textId="26DF43F2" w:rsidR="003573A7" w:rsidRPr="00F61B8D" w:rsidRDefault="00B3766C" w:rsidP="00B3766C">
      <w:pPr>
        <w:pBdr>
          <w:top w:val="single" w:sz="4" w:space="1" w:color="auto"/>
          <w:left w:val="single" w:sz="4" w:space="4"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lastRenderedPageBreak/>
        <w:t xml:space="preserve">ŠIFRA 1 - </w:t>
      </w:r>
      <w:r w:rsidR="00ED7F4F" w:rsidRPr="00F61B8D">
        <w:rPr>
          <w:rFonts w:ascii="Aptos" w:hAnsi="Aptos" w:cstheme="minorHAnsi"/>
          <w:b/>
          <w:sz w:val="22"/>
          <w:szCs w:val="22"/>
        </w:rPr>
        <w:t xml:space="preserve"> FINANCIJSKA IMOVINA</w:t>
      </w:r>
    </w:p>
    <w:p w14:paraId="389FC4F5" w14:textId="2B3EC7F5" w:rsidR="005C3EC0" w:rsidRPr="00F61B8D" w:rsidRDefault="005C3EC0" w:rsidP="005C3EC0">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sidR="00F41919" w:rsidRPr="00F61B8D">
        <w:rPr>
          <w:rFonts w:ascii="Aptos" w:hAnsi="Aptos" w:cs="Calibri"/>
          <w:b/>
          <w:bCs/>
          <w:color w:val="000000"/>
          <w:sz w:val="22"/>
          <w:szCs w:val="22"/>
        </w:rPr>
        <w:t>1</w:t>
      </w:r>
      <w:r w:rsidR="009D14B2">
        <w:rPr>
          <w:rFonts w:ascii="Aptos" w:hAnsi="Aptos" w:cs="Calibri"/>
          <w:b/>
          <w:bCs/>
          <w:color w:val="000000"/>
          <w:sz w:val="22"/>
          <w:szCs w:val="22"/>
        </w:rPr>
        <w:t>7</w:t>
      </w:r>
      <w:r w:rsidRPr="00F61B8D">
        <w:rPr>
          <w:rFonts w:ascii="Aptos" w:hAnsi="Aptos" w:cs="Calibri"/>
          <w:b/>
          <w:bCs/>
          <w:color w:val="000000"/>
          <w:sz w:val="22"/>
          <w:szCs w:val="22"/>
        </w:rPr>
        <w:t>.</w:t>
      </w:r>
    </w:p>
    <w:p w14:paraId="3F7E8719" w14:textId="23FD88D4" w:rsidR="00CD751C" w:rsidRDefault="00B51FA9" w:rsidP="00B3766C">
      <w:pPr>
        <w:spacing w:before="60" w:after="60"/>
        <w:ind w:left="-425" w:right="-380" w:firstLine="284"/>
        <w:jc w:val="both"/>
        <w:rPr>
          <w:rFonts w:ascii="Aptos" w:hAnsi="Aptos" w:cstheme="minorHAnsi"/>
          <w:sz w:val="22"/>
          <w:szCs w:val="22"/>
        </w:rPr>
      </w:pPr>
      <w:r w:rsidRPr="00C81CD6">
        <w:rPr>
          <w:rFonts w:ascii="Aptos" w:hAnsi="Aptos" w:cstheme="minorHAnsi"/>
          <w:sz w:val="22"/>
          <w:szCs w:val="22"/>
        </w:rPr>
        <w:t xml:space="preserve">Ukupna financijska imovina na kraju obračunskog razdoblja iznosi </w:t>
      </w:r>
      <w:r w:rsidR="00C81CD6">
        <w:rPr>
          <w:rFonts w:ascii="Aptos" w:hAnsi="Aptos" w:cstheme="minorHAnsi"/>
          <w:sz w:val="22"/>
          <w:szCs w:val="22"/>
        </w:rPr>
        <w:t>39.207.413,18 €</w:t>
      </w:r>
      <w:r w:rsidRPr="00C81CD6">
        <w:rPr>
          <w:rFonts w:ascii="Aptos" w:hAnsi="Aptos" w:cstheme="minorHAnsi"/>
          <w:sz w:val="22"/>
          <w:szCs w:val="22"/>
        </w:rPr>
        <w:t>, što je u odnosu na istu imovinu na kraju 20</w:t>
      </w:r>
      <w:r w:rsidR="00882468" w:rsidRPr="00C81CD6">
        <w:rPr>
          <w:rFonts w:ascii="Aptos" w:hAnsi="Aptos" w:cstheme="minorHAnsi"/>
          <w:sz w:val="22"/>
          <w:szCs w:val="22"/>
        </w:rPr>
        <w:t>2</w:t>
      </w:r>
      <w:r w:rsidR="00C81CD6">
        <w:rPr>
          <w:rFonts w:ascii="Aptos" w:hAnsi="Aptos" w:cstheme="minorHAnsi"/>
          <w:sz w:val="22"/>
          <w:szCs w:val="22"/>
        </w:rPr>
        <w:t>2</w:t>
      </w:r>
      <w:r w:rsidRPr="00C81CD6">
        <w:rPr>
          <w:rFonts w:ascii="Aptos" w:hAnsi="Aptos" w:cstheme="minorHAnsi"/>
          <w:sz w:val="22"/>
          <w:szCs w:val="22"/>
        </w:rPr>
        <w:t xml:space="preserve">. godine </w:t>
      </w:r>
      <w:r w:rsidR="00C81CD6">
        <w:rPr>
          <w:rFonts w:ascii="Aptos" w:hAnsi="Aptos" w:cstheme="minorHAnsi"/>
          <w:sz w:val="22"/>
          <w:szCs w:val="22"/>
        </w:rPr>
        <w:t>više</w:t>
      </w:r>
      <w:r w:rsidR="00B3766C" w:rsidRPr="00C81CD6">
        <w:rPr>
          <w:rFonts w:ascii="Aptos" w:hAnsi="Aptos" w:cstheme="minorHAnsi"/>
          <w:sz w:val="22"/>
          <w:szCs w:val="22"/>
        </w:rPr>
        <w:t xml:space="preserve"> za </w:t>
      </w:r>
      <w:r w:rsidR="00C81CD6">
        <w:rPr>
          <w:rFonts w:ascii="Aptos" w:hAnsi="Aptos" w:cstheme="minorHAnsi"/>
          <w:sz w:val="22"/>
          <w:szCs w:val="22"/>
        </w:rPr>
        <w:t>8,6</w:t>
      </w:r>
      <w:r w:rsidRPr="00C81CD6">
        <w:rPr>
          <w:rFonts w:ascii="Aptos" w:hAnsi="Aptos" w:cstheme="minorHAnsi"/>
          <w:sz w:val="22"/>
          <w:szCs w:val="22"/>
        </w:rPr>
        <w:t>%.</w:t>
      </w:r>
    </w:p>
    <w:p w14:paraId="6F1604BC" w14:textId="39FC5138" w:rsidR="005F2A01" w:rsidRPr="00C81CD6" w:rsidRDefault="005F2A01" w:rsidP="005F2A01">
      <w:pPr>
        <w:spacing w:before="60" w:after="60"/>
        <w:ind w:left="-425" w:right="-380" w:firstLine="284"/>
        <w:jc w:val="both"/>
        <w:rPr>
          <w:rFonts w:ascii="Aptos" w:hAnsi="Aptos" w:cstheme="minorHAnsi"/>
          <w:sz w:val="22"/>
          <w:szCs w:val="22"/>
        </w:rPr>
      </w:pPr>
      <w:r w:rsidRPr="00FD2D86">
        <w:rPr>
          <w:rFonts w:ascii="Aptos" w:hAnsi="Aptos" w:cstheme="minorHAnsi"/>
          <w:sz w:val="22"/>
          <w:szCs w:val="22"/>
        </w:rPr>
        <w:t>Uzimajući u obzir preračunavanj</w:t>
      </w:r>
      <w:r>
        <w:rPr>
          <w:rFonts w:ascii="Aptos" w:hAnsi="Aptos" w:cstheme="minorHAnsi"/>
          <w:sz w:val="22"/>
          <w:szCs w:val="22"/>
        </w:rPr>
        <w:t>e</w:t>
      </w:r>
      <w:r w:rsidRPr="00FD2D86">
        <w:rPr>
          <w:rFonts w:ascii="Aptos" w:hAnsi="Aptos" w:cstheme="minorHAnsi"/>
          <w:sz w:val="22"/>
          <w:szCs w:val="22"/>
        </w:rPr>
        <w:t xml:space="preserve"> iznosa iz kuna u eure i uspostavljanje bilančne ravnoteže sukladno uputi</w:t>
      </w:r>
      <w:r>
        <w:rPr>
          <w:rFonts w:ascii="Aptos" w:hAnsi="Aptos" w:cstheme="minorHAnsi"/>
          <w:sz w:val="22"/>
          <w:szCs w:val="22"/>
        </w:rPr>
        <w:t xml:space="preserve"> </w:t>
      </w:r>
      <w:r w:rsidRPr="00FD2D86">
        <w:rPr>
          <w:rFonts w:ascii="Aptos" w:hAnsi="Aptos" w:cstheme="minorHAnsi"/>
          <w:sz w:val="22"/>
          <w:szCs w:val="22"/>
        </w:rPr>
        <w:t>Mini</w:t>
      </w:r>
      <w:r>
        <w:rPr>
          <w:rFonts w:ascii="Aptos" w:hAnsi="Aptos" w:cstheme="minorHAnsi"/>
          <w:sz w:val="22"/>
          <w:szCs w:val="22"/>
        </w:rPr>
        <w:t>s</w:t>
      </w:r>
      <w:r w:rsidRPr="00FD2D86">
        <w:rPr>
          <w:rFonts w:ascii="Aptos" w:hAnsi="Aptos" w:cstheme="minorHAnsi"/>
          <w:sz w:val="22"/>
          <w:szCs w:val="22"/>
        </w:rPr>
        <w:t>tarstva financija</w:t>
      </w:r>
      <w:r>
        <w:rPr>
          <w:rFonts w:ascii="Aptos" w:hAnsi="Aptos" w:cstheme="minorHAnsi"/>
          <w:sz w:val="22"/>
          <w:szCs w:val="22"/>
        </w:rPr>
        <w:t xml:space="preserve">, izvršeno je </w:t>
      </w:r>
      <w:r w:rsidRPr="00FD2D86">
        <w:rPr>
          <w:rFonts w:ascii="Aptos" w:hAnsi="Aptos" w:cstheme="minorHAnsi"/>
          <w:sz w:val="22"/>
          <w:szCs w:val="22"/>
        </w:rPr>
        <w:t>usklađivanje razlika između analitičkih i sintetičkih evidencija</w:t>
      </w:r>
      <w:r>
        <w:rPr>
          <w:rFonts w:ascii="Aptos" w:hAnsi="Aptos" w:cstheme="minorHAnsi"/>
          <w:sz w:val="22"/>
          <w:szCs w:val="22"/>
        </w:rPr>
        <w:t xml:space="preserve"> na dan 01.01.2023. godine u odnosu na stanje 31.12.2022. godine u iznosu od 2,76 €.</w:t>
      </w:r>
    </w:p>
    <w:p w14:paraId="4C29600D" w14:textId="1C22F1E5" w:rsidR="00F41919" w:rsidRPr="00F61B8D" w:rsidRDefault="00F41919" w:rsidP="00F61B8D">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w:t>
      </w:r>
      <w:r w:rsidR="009D14B2">
        <w:rPr>
          <w:rFonts w:ascii="Aptos" w:hAnsi="Aptos" w:cs="Calibri"/>
          <w:b/>
          <w:bCs/>
          <w:color w:val="000000"/>
          <w:sz w:val="22"/>
          <w:szCs w:val="22"/>
        </w:rPr>
        <w:t>8</w:t>
      </w:r>
      <w:r w:rsidRPr="00F61B8D">
        <w:rPr>
          <w:rFonts w:ascii="Aptos" w:hAnsi="Aptos" w:cs="Calibri"/>
          <w:b/>
          <w:bCs/>
          <w:color w:val="000000"/>
          <w:sz w:val="22"/>
          <w:szCs w:val="22"/>
        </w:rPr>
        <w:t>.</w:t>
      </w:r>
    </w:p>
    <w:p w14:paraId="742888E8" w14:textId="75787D77" w:rsidR="00287EB0" w:rsidRPr="00F61B8D" w:rsidRDefault="00B3766C" w:rsidP="003B3F6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11</w:t>
      </w:r>
      <w:r w:rsidR="003B4AE3" w:rsidRPr="00F61B8D">
        <w:rPr>
          <w:rFonts w:ascii="Aptos" w:hAnsi="Aptos" w:cstheme="minorHAnsi"/>
          <w:b/>
          <w:sz w:val="22"/>
          <w:szCs w:val="22"/>
        </w:rPr>
        <w:t xml:space="preserve"> - Novac u banci i blagajni</w:t>
      </w:r>
    </w:p>
    <w:p w14:paraId="6770EF15" w14:textId="2698FB5D" w:rsidR="003B3F6F" w:rsidRPr="00F61B8D" w:rsidRDefault="00ED7F4F" w:rsidP="009D14B2">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Stanje </w:t>
      </w:r>
      <w:r w:rsidR="009D14B2">
        <w:rPr>
          <w:rFonts w:ascii="Aptos" w:hAnsi="Aptos" w:cstheme="minorHAnsi"/>
          <w:sz w:val="22"/>
          <w:szCs w:val="22"/>
        </w:rPr>
        <w:t>transakcijskih</w:t>
      </w:r>
      <w:r w:rsidR="00287EB0" w:rsidRPr="00F61B8D">
        <w:rPr>
          <w:rFonts w:ascii="Aptos" w:hAnsi="Aptos" w:cstheme="minorHAnsi"/>
          <w:sz w:val="22"/>
          <w:szCs w:val="22"/>
        </w:rPr>
        <w:t xml:space="preserve"> računa</w:t>
      </w:r>
      <w:r w:rsidR="003B4AE3" w:rsidRPr="00F61B8D">
        <w:rPr>
          <w:rFonts w:ascii="Aptos" w:hAnsi="Aptos" w:cstheme="minorHAnsi"/>
          <w:sz w:val="22"/>
          <w:szCs w:val="22"/>
        </w:rPr>
        <w:t xml:space="preserve"> Grada Bakra </w:t>
      </w:r>
      <w:r w:rsidR="00287EB0" w:rsidRPr="00F61B8D">
        <w:rPr>
          <w:rFonts w:ascii="Aptos" w:hAnsi="Aptos" w:cstheme="minorHAnsi"/>
          <w:sz w:val="22"/>
          <w:szCs w:val="22"/>
        </w:rPr>
        <w:t>na dan 31.12.20</w:t>
      </w:r>
      <w:r w:rsidR="00CD751C" w:rsidRPr="00F61B8D">
        <w:rPr>
          <w:rFonts w:ascii="Aptos" w:hAnsi="Aptos" w:cstheme="minorHAnsi"/>
          <w:sz w:val="22"/>
          <w:szCs w:val="22"/>
        </w:rPr>
        <w:t>2</w:t>
      </w:r>
      <w:r w:rsidR="00AA0FEC">
        <w:rPr>
          <w:rFonts w:ascii="Aptos" w:hAnsi="Aptos" w:cstheme="minorHAnsi"/>
          <w:sz w:val="22"/>
          <w:szCs w:val="22"/>
        </w:rPr>
        <w:t>3</w:t>
      </w:r>
      <w:r w:rsidR="00287EB0" w:rsidRPr="00F61B8D">
        <w:rPr>
          <w:rFonts w:ascii="Aptos" w:hAnsi="Aptos" w:cstheme="minorHAnsi"/>
          <w:sz w:val="22"/>
          <w:szCs w:val="22"/>
        </w:rPr>
        <w:t xml:space="preserve">. godine iznosi </w:t>
      </w:r>
      <w:r w:rsidR="00AA0FEC">
        <w:rPr>
          <w:rFonts w:ascii="Aptos" w:hAnsi="Aptos" w:cstheme="minorHAnsi"/>
          <w:sz w:val="22"/>
          <w:szCs w:val="22"/>
        </w:rPr>
        <w:t>7.040.584,18 €</w:t>
      </w:r>
      <w:r w:rsidR="003B3F6F" w:rsidRPr="00F61B8D">
        <w:rPr>
          <w:rFonts w:ascii="Aptos" w:hAnsi="Aptos" w:cstheme="minorHAnsi"/>
          <w:sz w:val="22"/>
          <w:szCs w:val="22"/>
        </w:rPr>
        <w:t xml:space="preserve">. </w:t>
      </w:r>
      <w:r w:rsidR="00C6144F" w:rsidRPr="00F61B8D">
        <w:rPr>
          <w:rFonts w:ascii="Aptos" w:hAnsi="Aptos" w:cstheme="minorHAnsi"/>
          <w:sz w:val="22"/>
          <w:szCs w:val="22"/>
        </w:rPr>
        <w:t xml:space="preserve">Na posebno izdvojenim depozitnim računima </w:t>
      </w:r>
      <w:r w:rsidR="00DC3A2C" w:rsidRPr="00F61B8D">
        <w:rPr>
          <w:rFonts w:ascii="Aptos" w:hAnsi="Aptos" w:cstheme="minorHAnsi"/>
          <w:sz w:val="22"/>
          <w:szCs w:val="22"/>
        </w:rPr>
        <w:t xml:space="preserve">nalaze se sredstva u iznosu od </w:t>
      </w:r>
      <w:r w:rsidR="00AA0FEC">
        <w:rPr>
          <w:rFonts w:ascii="Aptos" w:hAnsi="Aptos" w:cstheme="minorHAnsi"/>
          <w:sz w:val="22"/>
          <w:szCs w:val="22"/>
        </w:rPr>
        <w:t>32.091,38 €</w:t>
      </w:r>
      <w:r w:rsidR="00CD751C" w:rsidRPr="00F61B8D">
        <w:rPr>
          <w:rFonts w:ascii="Aptos" w:hAnsi="Aptos" w:cstheme="minorHAnsi"/>
          <w:sz w:val="22"/>
          <w:szCs w:val="22"/>
        </w:rPr>
        <w:t>,</w:t>
      </w:r>
      <w:r w:rsidR="00DC3A2C" w:rsidRPr="00F61B8D">
        <w:rPr>
          <w:rFonts w:ascii="Aptos" w:hAnsi="Aptos" w:cstheme="minorHAnsi"/>
          <w:sz w:val="22"/>
          <w:szCs w:val="22"/>
        </w:rPr>
        <w:t xml:space="preserve"> a </w:t>
      </w:r>
      <w:r w:rsidR="00E239C6" w:rsidRPr="00F61B8D">
        <w:rPr>
          <w:rFonts w:ascii="Aptos" w:hAnsi="Aptos" w:cstheme="minorHAnsi"/>
          <w:sz w:val="22"/>
          <w:szCs w:val="22"/>
        </w:rPr>
        <w:t>nam</w:t>
      </w:r>
      <w:r w:rsidR="009652B7" w:rsidRPr="00F61B8D">
        <w:rPr>
          <w:rFonts w:ascii="Aptos" w:hAnsi="Aptos" w:cstheme="minorHAnsi"/>
          <w:sz w:val="22"/>
          <w:szCs w:val="22"/>
        </w:rPr>
        <w:t>i</w:t>
      </w:r>
      <w:r w:rsidR="00E239C6" w:rsidRPr="00F61B8D">
        <w:rPr>
          <w:rFonts w:ascii="Aptos" w:hAnsi="Aptos" w:cstheme="minorHAnsi"/>
          <w:sz w:val="22"/>
          <w:szCs w:val="22"/>
        </w:rPr>
        <w:t xml:space="preserve">jenjena su </w:t>
      </w:r>
      <w:r w:rsidR="00C6144F" w:rsidRPr="00F61B8D">
        <w:rPr>
          <w:rFonts w:ascii="Aptos" w:hAnsi="Aptos" w:cstheme="minorHAnsi"/>
          <w:sz w:val="22"/>
          <w:szCs w:val="22"/>
        </w:rPr>
        <w:t xml:space="preserve"> osiguran</w:t>
      </w:r>
      <w:r w:rsidR="00E239C6" w:rsidRPr="00F61B8D">
        <w:rPr>
          <w:rFonts w:ascii="Aptos" w:hAnsi="Aptos" w:cstheme="minorHAnsi"/>
          <w:sz w:val="22"/>
          <w:szCs w:val="22"/>
        </w:rPr>
        <w:t>ju</w:t>
      </w:r>
      <w:r w:rsidR="00C6144F" w:rsidRPr="00F61B8D">
        <w:rPr>
          <w:rFonts w:ascii="Aptos" w:hAnsi="Aptos" w:cstheme="minorHAnsi"/>
          <w:sz w:val="22"/>
          <w:szCs w:val="22"/>
        </w:rPr>
        <w:t xml:space="preserve"> </w:t>
      </w:r>
      <w:r w:rsidR="003B3F6F" w:rsidRPr="00F61B8D">
        <w:rPr>
          <w:rFonts w:ascii="Aptos" w:hAnsi="Aptos" w:cstheme="minorHAnsi"/>
          <w:sz w:val="22"/>
          <w:szCs w:val="22"/>
        </w:rPr>
        <w:t xml:space="preserve">novčanih sredstava </w:t>
      </w:r>
      <w:r w:rsidR="00C6144F" w:rsidRPr="00F61B8D">
        <w:rPr>
          <w:rFonts w:ascii="Aptos" w:hAnsi="Aptos" w:cstheme="minorHAnsi"/>
          <w:sz w:val="22"/>
          <w:szCs w:val="22"/>
        </w:rPr>
        <w:t>za</w:t>
      </w:r>
      <w:r w:rsidR="009D14B2">
        <w:rPr>
          <w:rFonts w:ascii="Aptos" w:hAnsi="Aptos" w:cstheme="minorHAnsi"/>
          <w:sz w:val="22"/>
          <w:szCs w:val="22"/>
        </w:rPr>
        <w:t xml:space="preserve"> </w:t>
      </w:r>
      <w:r w:rsidR="008930E9" w:rsidRPr="00F61B8D">
        <w:rPr>
          <w:rFonts w:ascii="Aptos" w:hAnsi="Aptos" w:cstheme="minorHAnsi"/>
          <w:sz w:val="22"/>
          <w:szCs w:val="22"/>
        </w:rPr>
        <w:t>naknade za iz</w:t>
      </w:r>
      <w:r w:rsidR="002162AF" w:rsidRPr="00F61B8D">
        <w:rPr>
          <w:rFonts w:ascii="Aptos" w:hAnsi="Aptos" w:cstheme="minorHAnsi"/>
          <w:sz w:val="22"/>
          <w:szCs w:val="22"/>
        </w:rPr>
        <w:t xml:space="preserve">vlaštenja zemljišta </w:t>
      </w:r>
      <w:r w:rsidR="009D14B2">
        <w:rPr>
          <w:rFonts w:ascii="Aptos" w:hAnsi="Aptos" w:cstheme="minorHAnsi"/>
          <w:sz w:val="22"/>
          <w:szCs w:val="22"/>
        </w:rPr>
        <w:t xml:space="preserve">i </w:t>
      </w:r>
      <w:r w:rsidR="00142013" w:rsidRPr="00F61B8D">
        <w:rPr>
          <w:rFonts w:ascii="Aptos" w:hAnsi="Aptos" w:cstheme="minorHAnsi"/>
          <w:sz w:val="22"/>
          <w:szCs w:val="22"/>
        </w:rPr>
        <w:t>rješavanje stambenih pitanja</w:t>
      </w:r>
      <w:r w:rsidR="009D14B2">
        <w:rPr>
          <w:rFonts w:ascii="Aptos" w:hAnsi="Aptos" w:cstheme="minorHAnsi"/>
          <w:sz w:val="22"/>
          <w:szCs w:val="22"/>
        </w:rPr>
        <w:t>.</w:t>
      </w:r>
    </w:p>
    <w:p w14:paraId="20CE979D" w14:textId="4DDECAF9" w:rsidR="000916FF" w:rsidRPr="00F61B8D" w:rsidRDefault="009A0C9A" w:rsidP="003B3F6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Stanje u blagajni na dan 31.12.20</w:t>
      </w:r>
      <w:r w:rsidR="00CD751C" w:rsidRPr="00F61B8D">
        <w:rPr>
          <w:rFonts w:ascii="Aptos" w:hAnsi="Aptos" w:cstheme="minorHAnsi"/>
          <w:sz w:val="22"/>
          <w:szCs w:val="22"/>
        </w:rPr>
        <w:t>2</w:t>
      </w:r>
      <w:r w:rsidR="00AA0FEC">
        <w:rPr>
          <w:rFonts w:ascii="Aptos" w:hAnsi="Aptos" w:cstheme="minorHAnsi"/>
          <w:sz w:val="22"/>
          <w:szCs w:val="22"/>
        </w:rPr>
        <w:t>3</w:t>
      </w:r>
      <w:r w:rsidRPr="00F61B8D">
        <w:rPr>
          <w:rFonts w:ascii="Aptos" w:hAnsi="Aptos" w:cstheme="minorHAnsi"/>
          <w:sz w:val="22"/>
          <w:szCs w:val="22"/>
        </w:rPr>
        <w:t>.</w:t>
      </w:r>
      <w:r w:rsidR="003B3F6F" w:rsidRPr="00F61B8D">
        <w:rPr>
          <w:rFonts w:ascii="Aptos" w:hAnsi="Aptos" w:cstheme="minorHAnsi"/>
          <w:sz w:val="22"/>
          <w:szCs w:val="22"/>
        </w:rPr>
        <w:t xml:space="preserve"> godine</w:t>
      </w:r>
      <w:r w:rsidRPr="00F61B8D">
        <w:rPr>
          <w:rFonts w:ascii="Aptos" w:hAnsi="Aptos" w:cstheme="minorHAnsi"/>
          <w:sz w:val="22"/>
          <w:szCs w:val="22"/>
        </w:rPr>
        <w:t xml:space="preserve"> iznosi </w:t>
      </w:r>
      <w:r w:rsidR="00AA0FEC">
        <w:rPr>
          <w:rFonts w:ascii="Aptos" w:hAnsi="Aptos" w:cstheme="minorHAnsi"/>
          <w:sz w:val="22"/>
          <w:szCs w:val="22"/>
        </w:rPr>
        <w:t>301,90 €</w:t>
      </w:r>
      <w:r w:rsidRPr="00F61B8D">
        <w:rPr>
          <w:rFonts w:ascii="Aptos" w:hAnsi="Aptos" w:cstheme="minorHAnsi"/>
          <w:sz w:val="22"/>
          <w:szCs w:val="22"/>
        </w:rPr>
        <w:t>.</w:t>
      </w:r>
    </w:p>
    <w:p w14:paraId="481C802D" w14:textId="6C8D4412" w:rsidR="00F41919" w:rsidRPr="00701352" w:rsidRDefault="00F41919" w:rsidP="00701352">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1</w:t>
      </w:r>
      <w:r w:rsidR="009D14B2">
        <w:rPr>
          <w:rFonts w:ascii="Aptos" w:hAnsi="Aptos" w:cs="Calibri"/>
          <w:b/>
          <w:bCs/>
          <w:color w:val="000000"/>
          <w:sz w:val="22"/>
          <w:szCs w:val="22"/>
        </w:rPr>
        <w:t>9</w:t>
      </w:r>
      <w:r w:rsidRPr="00F61B8D">
        <w:rPr>
          <w:rFonts w:ascii="Aptos" w:hAnsi="Aptos" w:cs="Calibri"/>
          <w:b/>
          <w:bCs/>
          <w:color w:val="000000"/>
          <w:sz w:val="22"/>
          <w:szCs w:val="22"/>
        </w:rPr>
        <w:t>.</w:t>
      </w:r>
    </w:p>
    <w:p w14:paraId="309B344F" w14:textId="79C650F3" w:rsidR="00CE539D" w:rsidRPr="00F61B8D" w:rsidRDefault="00B3766C" w:rsidP="003B3F6F">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12</w:t>
      </w:r>
      <w:r w:rsidR="00CE539D" w:rsidRPr="00F61B8D">
        <w:rPr>
          <w:rFonts w:ascii="Aptos" w:hAnsi="Aptos" w:cstheme="minorHAnsi"/>
          <w:b/>
          <w:sz w:val="22"/>
          <w:szCs w:val="22"/>
        </w:rPr>
        <w:t xml:space="preserve"> - Potraživanja od zaposlenih i ostala potraživanja</w:t>
      </w:r>
    </w:p>
    <w:p w14:paraId="33E80618" w14:textId="423647F4" w:rsidR="00701352" w:rsidRDefault="00CE539D" w:rsidP="00701352">
      <w:pPr>
        <w:spacing w:before="60" w:after="60"/>
        <w:ind w:left="-425" w:right="-380" w:firstLine="284"/>
        <w:jc w:val="both"/>
        <w:rPr>
          <w:rFonts w:ascii="Aptos" w:hAnsi="Aptos" w:cstheme="minorHAnsi"/>
          <w:sz w:val="22"/>
          <w:szCs w:val="22"/>
        </w:rPr>
      </w:pPr>
      <w:r w:rsidRPr="00701352">
        <w:rPr>
          <w:rFonts w:ascii="Aptos" w:hAnsi="Aptos" w:cstheme="minorHAnsi"/>
          <w:sz w:val="22"/>
          <w:szCs w:val="22"/>
        </w:rPr>
        <w:t>Potraživanja od zaposlenih</w:t>
      </w:r>
      <w:r w:rsidR="00701352">
        <w:rPr>
          <w:rFonts w:ascii="Aptos" w:hAnsi="Aptos" w:cstheme="minorHAnsi"/>
          <w:sz w:val="22"/>
          <w:szCs w:val="22"/>
        </w:rPr>
        <w:t xml:space="preserve"> – šifra 123</w:t>
      </w:r>
      <w:r w:rsidRPr="00701352">
        <w:rPr>
          <w:rFonts w:ascii="Aptos" w:hAnsi="Aptos" w:cstheme="minorHAnsi"/>
          <w:sz w:val="22"/>
          <w:szCs w:val="22"/>
        </w:rPr>
        <w:t xml:space="preserve"> u iznosu od </w:t>
      </w:r>
      <w:r w:rsidR="00701352">
        <w:rPr>
          <w:rFonts w:ascii="Aptos" w:hAnsi="Aptos" w:cstheme="minorHAnsi"/>
          <w:sz w:val="22"/>
          <w:szCs w:val="22"/>
        </w:rPr>
        <w:t xml:space="preserve">1.827,89 € </w:t>
      </w:r>
      <w:r w:rsidRPr="00701352">
        <w:rPr>
          <w:rFonts w:ascii="Aptos" w:hAnsi="Aptos" w:cstheme="minorHAnsi"/>
          <w:sz w:val="22"/>
          <w:szCs w:val="22"/>
        </w:rPr>
        <w:t xml:space="preserve">odnose se na </w:t>
      </w:r>
      <w:r w:rsidR="003B3F6F" w:rsidRPr="00701352">
        <w:rPr>
          <w:rFonts w:ascii="Aptos" w:hAnsi="Aptos" w:cstheme="minorHAnsi"/>
          <w:sz w:val="22"/>
          <w:szCs w:val="22"/>
        </w:rPr>
        <w:t>potraživanja s osnove korištenja i nabave službenih mobilnih uređaja</w:t>
      </w:r>
      <w:r w:rsidR="00932A32" w:rsidRPr="00701352">
        <w:rPr>
          <w:rFonts w:ascii="Aptos" w:hAnsi="Aptos" w:cstheme="minorHAnsi"/>
          <w:sz w:val="22"/>
          <w:szCs w:val="22"/>
        </w:rPr>
        <w:t xml:space="preserve"> i potraživanja s osnove </w:t>
      </w:r>
      <w:r w:rsidR="00E239C6" w:rsidRPr="00701352">
        <w:rPr>
          <w:rFonts w:ascii="Aptos" w:hAnsi="Aptos" w:cstheme="minorHAnsi"/>
          <w:sz w:val="22"/>
          <w:szCs w:val="22"/>
        </w:rPr>
        <w:t>dopunskog zdravstvenog osiguranja zaposlenika gradske uprave</w:t>
      </w:r>
      <w:r w:rsidR="00701352">
        <w:rPr>
          <w:rFonts w:ascii="Aptos" w:hAnsi="Aptos" w:cstheme="minorHAnsi"/>
          <w:sz w:val="22"/>
          <w:szCs w:val="22"/>
        </w:rPr>
        <w:t>.</w:t>
      </w:r>
    </w:p>
    <w:p w14:paraId="56D209EE" w14:textId="350A7E34" w:rsidR="00932A32" w:rsidRPr="00701352" w:rsidRDefault="00932A32" w:rsidP="00701352">
      <w:pPr>
        <w:spacing w:before="60" w:after="60"/>
        <w:ind w:left="-425" w:right="-380" w:firstLine="284"/>
        <w:jc w:val="both"/>
        <w:rPr>
          <w:rFonts w:ascii="Aptos" w:hAnsi="Aptos" w:cstheme="minorHAnsi"/>
          <w:sz w:val="22"/>
          <w:szCs w:val="22"/>
        </w:rPr>
      </w:pPr>
      <w:r w:rsidRPr="00701352">
        <w:rPr>
          <w:rFonts w:ascii="Aptos" w:hAnsi="Aptos" w:cstheme="minorHAnsi"/>
          <w:sz w:val="22"/>
          <w:szCs w:val="22"/>
        </w:rPr>
        <w:t>Potraživanja s osnove više uplaćenog poreza na dohodak</w:t>
      </w:r>
      <w:r w:rsidR="00701352">
        <w:rPr>
          <w:rFonts w:ascii="Aptos" w:hAnsi="Aptos" w:cstheme="minorHAnsi"/>
          <w:sz w:val="22"/>
          <w:szCs w:val="22"/>
        </w:rPr>
        <w:t xml:space="preserve"> – šifra 124</w:t>
      </w:r>
      <w:r w:rsidRPr="00701352">
        <w:rPr>
          <w:rFonts w:ascii="Aptos" w:hAnsi="Aptos" w:cstheme="minorHAnsi"/>
          <w:sz w:val="22"/>
          <w:szCs w:val="22"/>
        </w:rPr>
        <w:t xml:space="preserve"> iznose </w:t>
      </w:r>
      <w:r w:rsidR="00701352">
        <w:rPr>
          <w:rFonts w:ascii="Aptos" w:hAnsi="Aptos" w:cstheme="minorHAnsi"/>
          <w:sz w:val="22"/>
          <w:szCs w:val="22"/>
        </w:rPr>
        <w:t>70,36 €</w:t>
      </w:r>
      <w:r w:rsidRPr="00701352">
        <w:rPr>
          <w:rFonts w:ascii="Aptos" w:hAnsi="Aptos" w:cstheme="minorHAnsi"/>
          <w:sz w:val="22"/>
          <w:szCs w:val="22"/>
        </w:rPr>
        <w:t>, dok ostala potraživanja</w:t>
      </w:r>
      <w:r w:rsidR="00701352">
        <w:rPr>
          <w:rFonts w:ascii="Aptos" w:hAnsi="Aptos" w:cstheme="minorHAnsi"/>
          <w:sz w:val="22"/>
          <w:szCs w:val="22"/>
        </w:rPr>
        <w:t xml:space="preserve"> – šifra 129</w:t>
      </w:r>
      <w:r w:rsidRPr="00701352">
        <w:rPr>
          <w:rFonts w:ascii="Aptos" w:hAnsi="Aptos" w:cstheme="minorHAnsi"/>
          <w:sz w:val="22"/>
          <w:szCs w:val="22"/>
        </w:rPr>
        <w:t xml:space="preserve"> koja se odnose na naknade plaće zaposlenika tijekom privremene nesposobnosti za rad koje terete sredstva HZZO-a i za koje je zatražen povrat isplaćenih sredstava iznose </w:t>
      </w:r>
      <w:r w:rsidR="00701352">
        <w:rPr>
          <w:rFonts w:ascii="Aptos" w:hAnsi="Aptos" w:cstheme="minorHAnsi"/>
          <w:sz w:val="22"/>
          <w:szCs w:val="22"/>
        </w:rPr>
        <w:t>1.015,90 €</w:t>
      </w:r>
      <w:r w:rsidRPr="00701352">
        <w:rPr>
          <w:rFonts w:ascii="Aptos" w:hAnsi="Aptos" w:cstheme="minorHAnsi"/>
          <w:sz w:val="22"/>
          <w:szCs w:val="22"/>
        </w:rPr>
        <w:t>.</w:t>
      </w:r>
    </w:p>
    <w:p w14:paraId="4681C364" w14:textId="3552D3A1" w:rsidR="00F41919" w:rsidRPr="00AA0FEC" w:rsidRDefault="00F41919" w:rsidP="00AA0FEC">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sidR="009D14B2">
        <w:rPr>
          <w:rFonts w:ascii="Aptos" w:hAnsi="Aptos" w:cs="Calibri"/>
          <w:b/>
          <w:bCs/>
          <w:color w:val="000000"/>
          <w:sz w:val="22"/>
          <w:szCs w:val="22"/>
        </w:rPr>
        <w:t>20</w:t>
      </w:r>
      <w:r w:rsidRPr="00F61B8D">
        <w:rPr>
          <w:rFonts w:ascii="Aptos" w:hAnsi="Aptos" w:cs="Calibri"/>
          <w:b/>
          <w:bCs/>
          <w:color w:val="000000"/>
          <w:sz w:val="22"/>
          <w:szCs w:val="22"/>
        </w:rPr>
        <w:t>.</w:t>
      </w:r>
    </w:p>
    <w:p w14:paraId="4E69C2B8" w14:textId="4E3E2A1B" w:rsidR="00B234DD" w:rsidRPr="00F61B8D" w:rsidRDefault="00B3766C" w:rsidP="00932A32">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13</w:t>
      </w:r>
      <w:r w:rsidR="00CE539D" w:rsidRPr="00F61B8D">
        <w:rPr>
          <w:rFonts w:ascii="Aptos" w:hAnsi="Aptos" w:cstheme="minorHAnsi"/>
          <w:b/>
          <w:sz w:val="22"/>
          <w:szCs w:val="22"/>
        </w:rPr>
        <w:t xml:space="preserve"> - Potraživanja za dane zajmove</w:t>
      </w:r>
      <w:r w:rsidR="00B234DD" w:rsidRPr="00F61B8D">
        <w:rPr>
          <w:rFonts w:ascii="Aptos" w:hAnsi="Aptos" w:cstheme="minorHAnsi"/>
          <w:b/>
          <w:sz w:val="22"/>
          <w:szCs w:val="22"/>
        </w:rPr>
        <w:t xml:space="preserve"> </w:t>
      </w:r>
    </w:p>
    <w:p w14:paraId="4A5FE52F" w14:textId="7395D71A" w:rsidR="008D1B48" w:rsidRPr="00F61B8D" w:rsidRDefault="00B234DD" w:rsidP="00932A32">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Potraživanja po danim zajmovima trgovačkim društvima u javnom sektoru evidentirana su sukladno Sporazumu o evidentiranju i iskazivanju  prihoda iz cijene komunalne usluge nam</w:t>
      </w:r>
      <w:r w:rsidR="008D1B48" w:rsidRPr="00F61B8D">
        <w:rPr>
          <w:rFonts w:ascii="Aptos" w:hAnsi="Aptos" w:cstheme="minorHAnsi"/>
          <w:sz w:val="22"/>
          <w:szCs w:val="22"/>
        </w:rPr>
        <w:t>i</w:t>
      </w:r>
      <w:r w:rsidRPr="00F61B8D">
        <w:rPr>
          <w:rFonts w:ascii="Aptos" w:hAnsi="Aptos" w:cstheme="minorHAnsi"/>
          <w:sz w:val="22"/>
          <w:szCs w:val="22"/>
        </w:rPr>
        <w:t xml:space="preserve">jenjene razvoju </w:t>
      </w:r>
      <w:r w:rsidR="008D1B48" w:rsidRPr="00F61B8D">
        <w:rPr>
          <w:rFonts w:ascii="Aptos" w:hAnsi="Aptos" w:cstheme="minorHAnsi"/>
          <w:sz w:val="22"/>
          <w:szCs w:val="22"/>
        </w:rPr>
        <w:t>sklopljenom</w:t>
      </w:r>
      <w:r w:rsidRPr="00F61B8D">
        <w:rPr>
          <w:rFonts w:ascii="Aptos" w:hAnsi="Aptos" w:cstheme="minorHAnsi"/>
          <w:sz w:val="22"/>
          <w:szCs w:val="22"/>
        </w:rPr>
        <w:t xml:space="preserve"> između gradova i općina suvlasnika u </w:t>
      </w:r>
      <w:r w:rsidR="008D1B48" w:rsidRPr="00F61B8D">
        <w:rPr>
          <w:rFonts w:ascii="Aptos" w:hAnsi="Aptos" w:cstheme="minorHAnsi"/>
          <w:sz w:val="22"/>
          <w:szCs w:val="22"/>
        </w:rPr>
        <w:t xml:space="preserve">komunalnom društvu </w:t>
      </w:r>
      <w:r w:rsidRPr="00F61B8D">
        <w:rPr>
          <w:rFonts w:ascii="Aptos" w:hAnsi="Aptos" w:cstheme="minorHAnsi"/>
          <w:sz w:val="22"/>
          <w:szCs w:val="22"/>
        </w:rPr>
        <w:t>Čistoća</w:t>
      </w:r>
      <w:r w:rsidR="008D1B48" w:rsidRPr="00F61B8D">
        <w:rPr>
          <w:rFonts w:ascii="Aptos" w:hAnsi="Aptos" w:cstheme="minorHAnsi"/>
          <w:sz w:val="22"/>
          <w:szCs w:val="22"/>
        </w:rPr>
        <w:t xml:space="preserve"> d.o.o. Rijeka</w:t>
      </w:r>
      <w:r w:rsidRPr="00F61B8D">
        <w:rPr>
          <w:rFonts w:ascii="Aptos" w:hAnsi="Aptos" w:cstheme="minorHAnsi"/>
          <w:sz w:val="22"/>
          <w:szCs w:val="22"/>
        </w:rPr>
        <w:t xml:space="preserve"> i </w:t>
      </w:r>
      <w:r w:rsidR="008D1B48" w:rsidRPr="00F61B8D">
        <w:rPr>
          <w:rFonts w:ascii="Aptos" w:hAnsi="Aptos" w:cstheme="minorHAnsi"/>
          <w:sz w:val="22"/>
          <w:szCs w:val="22"/>
        </w:rPr>
        <w:t xml:space="preserve">komunalnom društvu </w:t>
      </w:r>
      <w:r w:rsidRPr="00F61B8D">
        <w:rPr>
          <w:rFonts w:ascii="Aptos" w:hAnsi="Aptos" w:cstheme="minorHAnsi"/>
          <w:sz w:val="22"/>
          <w:szCs w:val="22"/>
        </w:rPr>
        <w:t>Autotrolej</w:t>
      </w:r>
      <w:r w:rsidR="008D1B48" w:rsidRPr="00F61B8D">
        <w:rPr>
          <w:rFonts w:ascii="Aptos" w:hAnsi="Aptos" w:cstheme="minorHAnsi"/>
          <w:sz w:val="22"/>
          <w:szCs w:val="22"/>
        </w:rPr>
        <w:t xml:space="preserve"> d.o.o.</w:t>
      </w:r>
      <w:r w:rsidRPr="00F61B8D">
        <w:rPr>
          <w:rFonts w:ascii="Aptos" w:hAnsi="Aptos" w:cstheme="minorHAnsi"/>
          <w:sz w:val="22"/>
          <w:szCs w:val="22"/>
        </w:rPr>
        <w:t xml:space="preserve"> Rijeka. </w:t>
      </w:r>
    </w:p>
    <w:p w14:paraId="1DADEDC8" w14:textId="7FC98246" w:rsidR="00AA0FEC" w:rsidRDefault="00B234DD" w:rsidP="00245B3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Temeljem navedenog sporazuma prihodi iz cijene </w:t>
      </w:r>
      <w:r w:rsidR="00752C7D" w:rsidRPr="00F61B8D">
        <w:rPr>
          <w:rFonts w:ascii="Aptos" w:hAnsi="Aptos" w:cstheme="minorHAnsi"/>
          <w:sz w:val="22"/>
          <w:szCs w:val="22"/>
        </w:rPr>
        <w:t>za razvoj</w:t>
      </w:r>
      <w:r w:rsidRPr="00F61B8D">
        <w:rPr>
          <w:rFonts w:ascii="Aptos" w:hAnsi="Aptos" w:cstheme="minorHAnsi"/>
          <w:sz w:val="22"/>
          <w:szCs w:val="22"/>
        </w:rPr>
        <w:t xml:space="preserve"> koji nisu utrošeni </w:t>
      </w:r>
      <w:r w:rsidR="00E57F60" w:rsidRPr="00F61B8D">
        <w:rPr>
          <w:rFonts w:ascii="Aptos" w:hAnsi="Aptos" w:cstheme="minorHAnsi"/>
          <w:sz w:val="22"/>
          <w:szCs w:val="22"/>
        </w:rPr>
        <w:t>do kraja proračunske godine evidentira</w:t>
      </w:r>
      <w:r w:rsidR="00A43A90" w:rsidRPr="00F61B8D">
        <w:rPr>
          <w:rFonts w:ascii="Aptos" w:hAnsi="Aptos" w:cstheme="minorHAnsi"/>
          <w:sz w:val="22"/>
          <w:szCs w:val="22"/>
        </w:rPr>
        <w:t>ni</w:t>
      </w:r>
      <w:r w:rsidR="00E57F60" w:rsidRPr="00F61B8D">
        <w:rPr>
          <w:rFonts w:ascii="Aptos" w:hAnsi="Aptos" w:cstheme="minorHAnsi"/>
          <w:sz w:val="22"/>
          <w:szCs w:val="22"/>
        </w:rPr>
        <w:t xml:space="preserve"> </w:t>
      </w:r>
      <w:r w:rsidR="00A43A90" w:rsidRPr="00F61B8D">
        <w:rPr>
          <w:rFonts w:ascii="Aptos" w:hAnsi="Aptos" w:cstheme="minorHAnsi"/>
          <w:sz w:val="22"/>
          <w:szCs w:val="22"/>
        </w:rPr>
        <w:t>su</w:t>
      </w:r>
      <w:r w:rsidR="00E57F60" w:rsidRPr="00F61B8D">
        <w:rPr>
          <w:rFonts w:ascii="Aptos" w:hAnsi="Aptos" w:cstheme="minorHAnsi"/>
          <w:sz w:val="22"/>
          <w:szCs w:val="22"/>
        </w:rPr>
        <w:t xml:space="preserve"> kao dani zajam komunalnom društvu</w:t>
      </w:r>
      <w:r w:rsidR="00AA0FEC">
        <w:rPr>
          <w:rFonts w:ascii="Aptos" w:hAnsi="Aptos" w:cstheme="minorHAnsi"/>
          <w:sz w:val="22"/>
          <w:szCs w:val="22"/>
        </w:rPr>
        <w:t xml:space="preserve">, </w:t>
      </w:r>
      <w:r w:rsidR="00AA0FEC" w:rsidRPr="00F61B8D">
        <w:rPr>
          <w:rFonts w:ascii="Aptos" w:hAnsi="Aptos" w:cstheme="minorHAnsi"/>
          <w:sz w:val="22"/>
          <w:szCs w:val="22"/>
        </w:rPr>
        <w:t>a obuhvaćaju dane zajmove iz cijene razvoja KD Čistoća d.o.o. Rijeka</w:t>
      </w:r>
      <w:r w:rsidR="00AA0FEC">
        <w:rPr>
          <w:rFonts w:ascii="Aptos" w:hAnsi="Aptos" w:cstheme="minorHAnsi"/>
          <w:sz w:val="22"/>
          <w:szCs w:val="22"/>
        </w:rPr>
        <w:t xml:space="preserve"> u iznosu od 51.887,92 € i dane zajmove iz cijene razvoja KD Autotrolej d.o.o. Rijeka u iznosu od 7.472,75 €.</w:t>
      </w:r>
    </w:p>
    <w:p w14:paraId="7F3F392F" w14:textId="45EED7D1" w:rsidR="005E6A9D" w:rsidRPr="00F61B8D" w:rsidRDefault="00AA0FEC" w:rsidP="008A5F1C">
      <w:pPr>
        <w:spacing w:before="60" w:after="60"/>
        <w:ind w:left="-425" w:right="-380" w:firstLine="284"/>
        <w:jc w:val="both"/>
        <w:rPr>
          <w:rFonts w:ascii="Aptos" w:hAnsi="Aptos" w:cstheme="minorHAnsi"/>
          <w:sz w:val="22"/>
          <w:szCs w:val="22"/>
        </w:rPr>
      </w:pPr>
      <w:r>
        <w:rPr>
          <w:rFonts w:ascii="Aptos" w:hAnsi="Aptos" w:cstheme="minorHAnsi"/>
          <w:sz w:val="22"/>
          <w:szCs w:val="22"/>
        </w:rPr>
        <w:t>Obzirom da su prošle godine prihodi iz cijene za razvoj KD Autotrolej d.o.o. Rijeka</w:t>
      </w:r>
      <w:r w:rsidR="008A5F1C">
        <w:rPr>
          <w:rFonts w:ascii="Aptos" w:hAnsi="Aptos" w:cstheme="minorHAnsi"/>
          <w:sz w:val="22"/>
          <w:szCs w:val="22"/>
        </w:rPr>
        <w:t xml:space="preserve"> utrošeni i nije bio evidentiran dani zajam društvu, potraživanja za dane zajmove na kraju ovog obračunskog razdoblja su veća za 14,5% </w:t>
      </w:r>
      <w:r>
        <w:rPr>
          <w:rFonts w:ascii="Aptos" w:hAnsi="Aptos" w:cstheme="minorHAnsi"/>
          <w:sz w:val="22"/>
          <w:szCs w:val="22"/>
        </w:rPr>
        <w:t xml:space="preserve"> </w:t>
      </w:r>
      <w:r w:rsidR="0079472A" w:rsidRPr="00F61B8D">
        <w:rPr>
          <w:rFonts w:ascii="Aptos" w:hAnsi="Aptos" w:cstheme="minorHAnsi"/>
          <w:sz w:val="22"/>
          <w:szCs w:val="22"/>
        </w:rPr>
        <w:t>u</w:t>
      </w:r>
      <w:r w:rsidR="002D050E" w:rsidRPr="00F61B8D">
        <w:rPr>
          <w:rFonts w:ascii="Aptos" w:hAnsi="Aptos" w:cstheme="minorHAnsi"/>
          <w:sz w:val="22"/>
          <w:szCs w:val="22"/>
        </w:rPr>
        <w:t xml:space="preserve"> odnosu </w:t>
      </w:r>
      <w:r w:rsidR="00932A32" w:rsidRPr="00F61B8D">
        <w:rPr>
          <w:rFonts w:ascii="Aptos" w:hAnsi="Aptos" w:cstheme="minorHAnsi"/>
          <w:sz w:val="22"/>
          <w:szCs w:val="22"/>
        </w:rPr>
        <w:t xml:space="preserve">na </w:t>
      </w:r>
      <w:r w:rsidR="002D050E" w:rsidRPr="00F61B8D">
        <w:rPr>
          <w:rFonts w:ascii="Aptos" w:hAnsi="Aptos" w:cstheme="minorHAnsi"/>
          <w:sz w:val="22"/>
          <w:szCs w:val="22"/>
        </w:rPr>
        <w:t>20</w:t>
      </w:r>
      <w:r w:rsidR="00A32DA3" w:rsidRPr="00F61B8D">
        <w:rPr>
          <w:rFonts w:ascii="Aptos" w:hAnsi="Aptos" w:cstheme="minorHAnsi"/>
          <w:sz w:val="22"/>
          <w:szCs w:val="22"/>
        </w:rPr>
        <w:t>2</w:t>
      </w:r>
      <w:r>
        <w:rPr>
          <w:rFonts w:ascii="Aptos" w:hAnsi="Aptos" w:cstheme="minorHAnsi"/>
          <w:sz w:val="22"/>
          <w:szCs w:val="22"/>
        </w:rPr>
        <w:t>2</w:t>
      </w:r>
      <w:r w:rsidR="002D050E" w:rsidRPr="00F61B8D">
        <w:rPr>
          <w:rFonts w:ascii="Aptos" w:hAnsi="Aptos" w:cstheme="minorHAnsi"/>
          <w:sz w:val="22"/>
          <w:szCs w:val="22"/>
        </w:rPr>
        <w:t>. godin</w:t>
      </w:r>
      <w:r w:rsidR="00932A32" w:rsidRPr="00F61B8D">
        <w:rPr>
          <w:rFonts w:ascii="Aptos" w:hAnsi="Aptos" w:cstheme="minorHAnsi"/>
          <w:sz w:val="22"/>
          <w:szCs w:val="22"/>
        </w:rPr>
        <w:t>u</w:t>
      </w:r>
      <w:r w:rsidR="008A5F1C">
        <w:rPr>
          <w:rFonts w:ascii="Aptos" w:hAnsi="Aptos" w:cstheme="minorHAnsi"/>
          <w:sz w:val="22"/>
          <w:szCs w:val="22"/>
        </w:rPr>
        <w:t>.</w:t>
      </w:r>
    </w:p>
    <w:p w14:paraId="008C014F" w14:textId="62764796" w:rsidR="00F41919" w:rsidRPr="008A5F1C" w:rsidRDefault="00F41919" w:rsidP="008A5F1C">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r w:rsidR="009D14B2">
        <w:rPr>
          <w:rFonts w:ascii="Aptos" w:hAnsi="Aptos" w:cs="Calibri"/>
          <w:b/>
          <w:bCs/>
          <w:color w:val="000000"/>
          <w:sz w:val="22"/>
          <w:szCs w:val="22"/>
        </w:rPr>
        <w:t>1</w:t>
      </w:r>
      <w:r w:rsidRPr="00F61B8D">
        <w:rPr>
          <w:rFonts w:ascii="Aptos" w:hAnsi="Aptos" w:cs="Calibri"/>
          <w:b/>
          <w:bCs/>
          <w:color w:val="000000"/>
          <w:sz w:val="22"/>
          <w:szCs w:val="22"/>
        </w:rPr>
        <w:t>.</w:t>
      </w:r>
    </w:p>
    <w:p w14:paraId="0D4A580B" w14:textId="50CF7AEA" w:rsidR="00D7363A" w:rsidRPr="00F61B8D" w:rsidRDefault="00B3766C" w:rsidP="00932A32">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15</w:t>
      </w:r>
      <w:r w:rsidR="008D1B48" w:rsidRPr="00F61B8D">
        <w:rPr>
          <w:rFonts w:ascii="Aptos" w:hAnsi="Aptos" w:cstheme="minorHAnsi"/>
          <w:b/>
          <w:sz w:val="22"/>
          <w:szCs w:val="22"/>
        </w:rPr>
        <w:t xml:space="preserve"> - Dionice i udjeli u glavnici</w:t>
      </w:r>
    </w:p>
    <w:p w14:paraId="5F3B96C9" w14:textId="1977BB92" w:rsidR="00245B3E" w:rsidRDefault="00932A32" w:rsidP="00245B3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Vrijednost</w:t>
      </w:r>
      <w:r w:rsidR="00D7363A" w:rsidRPr="00F61B8D">
        <w:rPr>
          <w:rFonts w:ascii="Aptos" w:hAnsi="Aptos" w:cstheme="minorHAnsi"/>
          <w:sz w:val="22"/>
          <w:szCs w:val="22"/>
        </w:rPr>
        <w:t xml:space="preserve"> udjel</w:t>
      </w:r>
      <w:r w:rsidRPr="00F61B8D">
        <w:rPr>
          <w:rFonts w:ascii="Aptos" w:hAnsi="Aptos" w:cstheme="minorHAnsi"/>
          <w:sz w:val="22"/>
          <w:szCs w:val="22"/>
        </w:rPr>
        <w:t>a</w:t>
      </w:r>
      <w:r w:rsidR="00D7363A" w:rsidRPr="00F61B8D">
        <w:rPr>
          <w:rFonts w:ascii="Aptos" w:hAnsi="Aptos" w:cstheme="minorHAnsi"/>
          <w:sz w:val="22"/>
          <w:szCs w:val="22"/>
        </w:rPr>
        <w:t xml:space="preserve"> Grada Bakra u temeljnom kapitalu trgovačkih društava </w:t>
      </w:r>
      <w:r w:rsidR="00AF60A4" w:rsidRPr="00F61B8D">
        <w:rPr>
          <w:rFonts w:ascii="Aptos" w:hAnsi="Aptos" w:cstheme="minorHAnsi"/>
          <w:sz w:val="22"/>
          <w:szCs w:val="22"/>
        </w:rPr>
        <w:t xml:space="preserve">u kojima je Grad suvlasnik odnosno vlasnik </w:t>
      </w:r>
      <w:r w:rsidR="007D2E0C" w:rsidRPr="00F61B8D">
        <w:rPr>
          <w:rFonts w:ascii="Aptos" w:hAnsi="Aptos" w:cstheme="minorHAnsi"/>
          <w:sz w:val="22"/>
          <w:szCs w:val="22"/>
        </w:rPr>
        <w:t>na dan 31.12.202</w:t>
      </w:r>
      <w:r w:rsidR="008A5F1C">
        <w:rPr>
          <w:rFonts w:ascii="Aptos" w:hAnsi="Aptos" w:cstheme="minorHAnsi"/>
          <w:sz w:val="22"/>
          <w:szCs w:val="22"/>
        </w:rPr>
        <w:t>3</w:t>
      </w:r>
      <w:r w:rsidR="007D2E0C" w:rsidRPr="00F61B8D">
        <w:rPr>
          <w:rFonts w:ascii="Aptos" w:hAnsi="Aptos" w:cstheme="minorHAnsi"/>
          <w:sz w:val="22"/>
          <w:szCs w:val="22"/>
        </w:rPr>
        <w:t>.</w:t>
      </w:r>
      <w:r w:rsidRPr="00F61B8D">
        <w:rPr>
          <w:rFonts w:ascii="Aptos" w:hAnsi="Aptos" w:cstheme="minorHAnsi"/>
          <w:sz w:val="22"/>
          <w:szCs w:val="22"/>
        </w:rPr>
        <w:t xml:space="preserve"> </w:t>
      </w:r>
      <w:r w:rsidR="007D2E0C" w:rsidRPr="00F61B8D">
        <w:rPr>
          <w:rFonts w:ascii="Aptos" w:hAnsi="Aptos" w:cstheme="minorHAnsi"/>
          <w:sz w:val="22"/>
          <w:szCs w:val="22"/>
        </w:rPr>
        <w:t>g</w:t>
      </w:r>
      <w:r w:rsidRPr="00F61B8D">
        <w:rPr>
          <w:rFonts w:ascii="Aptos" w:hAnsi="Aptos" w:cstheme="minorHAnsi"/>
          <w:sz w:val="22"/>
          <w:szCs w:val="22"/>
        </w:rPr>
        <w:t>odine</w:t>
      </w:r>
      <w:r w:rsidR="007D2E0C" w:rsidRPr="00F61B8D">
        <w:rPr>
          <w:rFonts w:ascii="Aptos" w:hAnsi="Aptos" w:cstheme="minorHAnsi"/>
          <w:sz w:val="22"/>
          <w:szCs w:val="22"/>
        </w:rPr>
        <w:t xml:space="preserve"> </w:t>
      </w:r>
      <w:r w:rsidR="00946501" w:rsidRPr="00F61B8D">
        <w:rPr>
          <w:rFonts w:ascii="Aptos" w:hAnsi="Aptos" w:cstheme="minorHAnsi"/>
          <w:sz w:val="22"/>
          <w:szCs w:val="22"/>
        </w:rPr>
        <w:t>ukupno iznos</w:t>
      </w:r>
      <w:r w:rsidRPr="00F61B8D">
        <w:rPr>
          <w:rFonts w:ascii="Aptos" w:hAnsi="Aptos" w:cstheme="minorHAnsi"/>
          <w:sz w:val="22"/>
          <w:szCs w:val="22"/>
        </w:rPr>
        <w:t>i</w:t>
      </w:r>
      <w:r w:rsidR="00D7363A" w:rsidRPr="00F61B8D">
        <w:rPr>
          <w:rFonts w:ascii="Aptos" w:hAnsi="Aptos" w:cstheme="minorHAnsi"/>
          <w:sz w:val="22"/>
          <w:szCs w:val="22"/>
        </w:rPr>
        <w:t xml:space="preserve"> </w:t>
      </w:r>
      <w:r w:rsidR="008A5F1C">
        <w:rPr>
          <w:rFonts w:ascii="Aptos" w:hAnsi="Aptos" w:cstheme="minorHAnsi"/>
          <w:sz w:val="22"/>
          <w:szCs w:val="22"/>
        </w:rPr>
        <w:t xml:space="preserve">30.872.903,12 €, što je za 1,51 € manje u odnosu na 2022. godinu. Naime, temeljem Odluke Skupštine društva Industrijska zona Bakar d.o.o. Kukuljanovo izvršeno je usklađenje iznosa temeljnog kapitala i poslovnih udjela sukladno uvođenju eura kao službene valute u Republici Hrvatskoj, pri čemu je temeljni kapital društva smanjen za ukupno 15,71 €, a time i poslovni udio Grada Bakra za 1,51 €. </w:t>
      </w:r>
    </w:p>
    <w:p w14:paraId="078C31EE" w14:textId="77777777" w:rsidR="009D4863" w:rsidRDefault="009D4863" w:rsidP="00245B3E">
      <w:pPr>
        <w:spacing w:before="60" w:after="60"/>
        <w:ind w:left="-425" w:right="-380" w:firstLine="284"/>
        <w:jc w:val="both"/>
        <w:rPr>
          <w:rFonts w:ascii="Aptos" w:hAnsi="Aptos" w:cstheme="minorHAnsi"/>
          <w:sz w:val="22"/>
          <w:szCs w:val="22"/>
        </w:rPr>
      </w:pPr>
    </w:p>
    <w:p w14:paraId="238E44DB" w14:textId="77777777" w:rsidR="009D4863" w:rsidRDefault="009D4863" w:rsidP="00245B3E">
      <w:pPr>
        <w:spacing w:before="60" w:after="60"/>
        <w:ind w:left="-425" w:right="-380" w:firstLine="284"/>
        <w:jc w:val="both"/>
        <w:rPr>
          <w:rFonts w:ascii="Aptos" w:hAnsi="Aptos" w:cstheme="minorHAnsi"/>
          <w:sz w:val="22"/>
          <w:szCs w:val="22"/>
        </w:rPr>
      </w:pPr>
    </w:p>
    <w:p w14:paraId="6E929987" w14:textId="77777777" w:rsidR="009D4863" w:rsidRPr="00F61B8D" w:rsidRDefault="009D4863" w:rsidP="00245B3E">
      <w:pPr>
        <w:spacing w:before="60" w:after="60"/>
        <w:ind w:left="-425" w:right="-380" w:firstLine="284"/>
        <w:jc w:val="both"/>
        <w:rPr>
          <w:rFonts w:ascii="Aptos" w:hAnsi="Aptos" w:cstheme="minorHAnsi"/>
          <w:sz w:val="22"/>
          <w:szCs w:val="22"/>
        </w:rPr>
      </w:pPr>
    </w:p>
    <w:p w14:paraId="7820604E" w14:textId="368B7AD6" w:rsidR="006C0BF8" w:rsidRDefault="00E763BC" w:rsidP="00932A32">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lastRenderedPageBreak/>
        <w:t>V</w:t>
      </w:r>
      <w:r w:rsidR="008D1B48" w:rsidRPr="00F61B8D">
        <w:rPr>
          <w:rFonts w:ascii="Aptos" w:hAnsi="Aptos" w:cstheme="minorHAnsi"/>
          <w:sz w:val="22"/>
          <w:szCs w:val="22"/>
        </w:rPr>
        <w:t>rijednost udjela G</w:t>
      </w:r>
      <w:r w:rsidR="006C0BF8" w:rsidRPr="00F61B8D">
        <w:rPr>
          <w:rFonts w:ascii="Aptos" w:hAnsi="Aptos" w:cstheme="minorHAnsi"/>
          <w:sz w:val="22"/>
          <w:szCs w:val="22"/>
        </w:rPr>
        <w:t>rada Bakra u temeljnom kapitalu trgovačkih društava</w:t>
      </w:r>
      <w:r w:rsidRPr="00F61B8D">
        <w:rPr>
          <w:rFonts w:ascii="Aptos" w:hAnsi="Aptos" w:cstheme="minorHAnsi"/>
          <w:sz w:val="22"/>
          <w:szCs w:val="22"/>
        </w:rPr>
        <w:t xml:space="preserve"> iskazana je kako slijedi:</w:t>
      </w:r>
    </w:p>
    <w:tbl>
      <w:tblPr>
        <w:tblW w:w="9547" w:type="dxa"/>
        <w:tblInd w:w="-284" w:type="dxa"/>
        <w:tblLook w:val="04A0" w:firstRow="1" w:lastRow="0" w:firstColumn="1" w:lastColumn="0" w:noHBand="0" w:noVBand="1"/>
      </w:tblPr>
      <w:tblGrid>
        <w:gridCol w:w="3681"/>
        <w:gridCol w:w="1418"/>
        <w:gridCol w:w="1701"/>
        <w:gridCol w:w="1417"/>
        <w:gridCol w:w="1340"/>
      </w:tblGrid>
      <w:tr w:rsidR="00D42AB3" w:rsidRPr="00D42AB3" w14:paraId="3CF3D28F" w14:textId="77777777" w:rsidTr="009D14B2">
        <w:trPr>
          <w:trHeight w:val="864"/>
        </w:trPr>
        <w:tc>
          <w:tcPr>
            <w:tcW w:w="3681" w:type="dxa"/>
            <w:shd w:val="clear" w:color="auto" w:fill="D9D9D9" w:themeFill="background1" w:themeFillShade="D9"/>
            <w:vAlign w:val="center"/>
            <w:hideMark/>
          </w:tcPr>
          <w:p w14:paraId="500B85C9" w14:textId="77777777" w:rsidR="00D42AB3" w:rsidRPr="00D42AB3" w:rsidRDefault="00D42AB3" w:rsidP="00D42AB3">
            <w:pPr>
              <w:jc w:val="center"/>
              <w:rPr>
                <w:rFonts w:ascii="Aptos" w:hAnsi="Aptos" w:cs="Calibri"/>
                <w:b/>
                <w:bCs/>
                <w:sz w:val="18"/>
                <w:szCs w:val="18"/>
              </w:rPr>
            </w:pPr>
            <w:r w:rsidRPr="00D42AB3">
              <w:rPr>
                <w:rFonts w:ascii="Aptos" w:hAnsi="Aptos" w:cs="Calibri"/>
                <w:b/>
                <w:bCs/>
                <w:sz w:val="18"/>
                <w:szCs w:val="18"/>
              </w:rPr>
              <w:t>NAZIV JAVNOG TRGOVAČKOG DRUŠTVA</w:t>
            </w:r>
          </w:p>
        </w:tc>
        <w:tc>
          <w:tcPr>
            <w:tcW w:w="1418" w:type="dxa"/>
            <w:shd w:val="clear" w:color="auto" w:fill="D9D9D9" w:themeFill="background1" w:themeFillShade="D9"/>
            <w:vAlign w:val="center"/>
            <w:hideMark/>
          </w:tcPr>
          <w:p w14:paraId="65184B5B" w14:textId="77777777" w:rsidR="00D42AB3" w:rsidRPr="00D42AB3" w:rsidRDefault="00D42AB3" w:rsidP="00D42AB3">
            <w:pPr>
              <w:jc w:val="center"/>
              <w:rPr>
                <w:rFonts w:ascii="Aptos" w:hAnsi="Aptos" w:cs="Calibri"/>
                <w:b/>
                <w:bCs/>
                <w:sz w:val="18"/>
                <w:szCs w:val="18"/>
              </w:rPr>
            </w:pPr>
            <w:r w:rsidRPr="00D42AB3">
              <w:rPr>
                <w:rFonts w:ascii="Aptos" w:hAnsi="Aptos" w:cs="Calibri"/>
                <w:b/>
                <w:bCs/>
                <w:sz w:val="18"/>
                <w:szCs w:val="18"/>
              </w:rPr>
              <w:t>OIB</w:t>
            </w:r>
          </w:p>
        </w:tc>
        <w:tc>
          <w:tcPr>
            <w:tcW w:w="1701" w:type="dxa"/>
            <w:shd w:val="clear" w:color="auto" w:fill="D9D9D9" w:themeFill="background1" w:themeFillShade="D9"/>
            <w:vAlign w:val="center"/>
            <w:hideMark/>
          </w:tcPr>
          <w:p w14:paraId="700FCC01" w14:textId="77777777" w:rsidR="00D42AB3" w:rsidRPr="00D42AB3" w:rsidRDefault="00D42AB3" w:rsidP="00D42AB3">
            <w:pPr>
              <w:jc w:val="center"/>
              <w:rPr>
                <w:rFonts w:ascii="Aptos" w:hAnsi="Aptos" w:cs="Calibri"/>
                <w:b/>
                <w:bCs/>
                <w:sz w:val="18"/>
                <w:szCs w:val="18"/>
              </w:rPr>
            </w:pPr>
            <w:r w:rsidRPr="00D42AB3">
              <w:rPr>
                <w:rFonts w:ascii="Aptos" w:hAnsi="Aptos" w:cs="Calibri"/>
                <w:b/>
                <w:bCs/>
                <w:sz w:val="18"/>
                <w:szCs w:val="18"/>
              </w:rPr>
              <w:t>TEMELJNI KAPITAL</w:t>
            </w:r>
            <w:r w:rsidRPr="00D42AB3">
              <w:rPr>
                <w:rFonts w:ascii="Aptos" w:hAnsi="Aptos" w:cs="Calibri"/>
                <w:b/>
                <w:bCs/>
                <w:sz w:val="18"/>
                <w:szCs w:val="18"/>
              </w:rPr>
              <w:br/>
              <w:t>31.12.2023.</w:t>
            </w:r>
          </w:p>
        </w:tc>
        <w:tc>
          <w:tcPr>
            <w:tcW w:w="1417" w:type="dxa"/>
            <w:shd w:val="clear" w:color="auto" w:fill="D9D9D9" w:themeFill="background1" w:themeFillShade="D9"/>
            <w:vAlign w:val="center"/>
            <w:hideMark/>
          </w:tcPr>
          <w:p w14:paraId="29123C6C" w14:textId="5B05C95B" w:rsidR="00D42AB3" w:rsidRPr="00D42AB3" w:rsidRDefault="00D42AB3" w:rsidP="00D42AB3">
            <w:pPr>
              <w:jc w:val="center"/>
              <w:rPr>
                <w:rFonts w:ascii="Aptos" w:hAnsi="Aptos" w:cs="Calibri"/>
                <w:b/>
                <w:bCs/>
                <w:sz w:val="18"/>
                <w:szCs w:val="18"/>
              </w:rPr>
            </w:pPr>
            <w:r w:rsidRPr="00D42AB3">
              <w:rPr>
                <w:rFonts w:ascii="Aptos" w:hAnsi="Aptos" w:cs="Calibri"/>
                <w:b/>
                <w:bCs/>
                <w:sz w:val="18"/>
                <w:szCs w:val="18"/>
              </w:rPr>
              <w:t xml:space="preserve">UDIO GRADA BAKRA </w:t>
            </w:r>
          </w:p>
        </w:tc>
        <w:tc>
          <w:tcPr>
            <w:tcW w:w="1330" w:type="dxa"/>
            <w:shd w:val="clear" w:color="auto" w:fill="D9D9D9" w:themeFill="background1" w:themeFillShade="D9"/>
            <w:vAlign w:val="center"/>
            <w:hideMark/>
          </w:tcPr>
          <w:p w14:paraId="3BA4D107" w14:textId="15966CB2" w:rsidR="00D42AB3" w:rsidRPr="00D42AB3" w:rsidRDefault="00D42AB3" w:rsidP="00D42AB3">
            <w:pPr>
              <w:jc w:val="center"/>
              <w:rPr>
                <w:rFonts w:ascii="Aptos" w:hAnsi="Aptos" w:cs="Calibri"/>
                <w:b/>
                <w:bCs/>
                <w:sz w:val="18"/>
                <w:szCs w:val="18"/>
              </w:rPr>
            </w:pPr>
            <w:r w:rsidRPr="00D42AB3">
              <w:rPr>
                <w:rFonts w:ascii="Aptos" w:hAnsi="Aptos" w:cs="Calibri"/>
                <w:b/>
                <w:bCs/>
                <w:sz w:val="18"/>
                <w:szCs w:val="18"/>
              </w:rPr>
              <w:t xml:space="preserve">VRIJEDNOST UDJELA </w:t>
            </w:r>
          </w:p>
        </w:tc>
      </w:tr>
      <w:tr w:rsidR="00D42AB3" w:rsidRPr="00D42AB3" w14:paraId="6200AB86" w14:textId="77777777" w:rsidTr="009D14B2">
        <w:trPr>
          <w:trHeight w:val="360"/>
        </w:trPr>
        <w:tc>
          <w:tcPr>
            <w:tcW w:w="3681" w:type="dxa"/>
            <w:shd w:val="clear" w:color="auto" w:fill="auto"/>
            <w:noWrap/>
            <w:vAlign w:val="bottom"/>
            <w:hideMark/>
          </w:tcPr>
          <w:p w14:paraId="70E189B1" w14:textId="77777777" w:rsidR="00D42AB3" w:rsidRPr="00D42AB3" w:rsidRDefault="00D42AB3" w:rsidP="00D42AB3">
            <w:pPr>
              <w:rPr>
                <w:rFonts w:ascii="Aptos" w:hAnsi="Aptos" w:cs="Calibri"/>
                <w:sz w:val="18"/>
                <w:szCs w:val="18"/>
              </w:rPr>
            </w:pPr>
            <w:r w:rsidRPr="00D42AB3">
              <w:rPr>
                <w:rFonts w:ascii="Aptos" w:hAnsi="Aptos" w:cs="Calibri"/>
                <w:sz w:val="18"/>
                <w:szCs w:val="18"/>
              </w:rPr>
              <w:t>Industrijska zona Bakar d.o.o. Kukuljanovo</w:t>
            </w:r>
          </w:p>
        </w:tc>
        <w:tc>
          <w:tcPr>
            <w:tcW w:w="1418" w:type="dxa"/>
            <w:shd w:val="clear" w:color="auto" w:fill="auto"/>
            <w:vAlign w:val="bottom"/>
            <w:hideMark/>
          </w:tcPr>
          <w:p w14:paraId="176C5206"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88897073492</w:t>
            </w:r>
          </w:p>
        </w:tc>
        <w:tc>
          <w:tcPr>
            <w:tcW w:w="1701" w:type="dxa"/>
            <w:shd w:val="clear" w:color="auto" w:fill="auto"/>
            <w:vAlign w:val="bottom"/>
            <w:hideMark/>
          </w:tcPr>
          <w:p w14:paraId="31937A6F"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22.776.280,00</w:t>
            </w:r>
          </w:p>
        </w:tc>
        <w:tc>
          <w:tcPr>
            <w:tcW w:w="1417" w:type="dxa"/>
            <w:shd w:val="clear" w:color="auto" w:fill="auto"/>
            <w:vAlign w:val="bottom"/>
            <w:hideMark/>
          </w:tcPr>
          <w:p w14:paraId="01CCCE64"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99,36%</w:t>
            </w:r>
          </w:p>
        </w:tc>
        <w:tc>
          <w:tcPr>
            <w:tcW w:w="1330" w:type="dxa"/>
            <w:shd w:val="clear" w:color="auto" w:fill="auto"/>
            <w:vAlign w:val="bottom"/>
            <w:hideMark/>
          </w:tcPr>
          <w:p w14:paraId="2916928B"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22.630.830,00</w:t>
            </w:r>
          </w:p>
        </w:tc>
      </w:tr>
      <w:tr w:rsidR="00D42AB3" w:rsidRPr="00D42AB3" w14:paraId="3C1ECA82" w14:textId="77777777" w:rsidTr="009D14B2">
        <w:trPr>
          <w:trHeight w:val="360"/>
        </w:trPr>
        <w:tc>
          <w:tcPr>
            <w:tcW w:w="3681" w:type="dxa"/>
            <w:shd w:val="clear" w:color="auto" w:fill="auto"/>
            <w:vAlign w:val="bottom"/>
            <w:hideMark/>
          </w:tcPr>
          <w:p w14:paraId="4EC11A08" w14:textId="77777777" w:rsidR="00D42AB3" w:rsidRPr="00D42AB3" w:rsidRDefault="00D42AB3" w:rsidP="00D42AB3">
            <w:pPr>
              <w:rPr>
                <w:rFonts w:ascii="Aptos" w:hAnsi="Aptos" w:cs="Calibri"/>
                <w:sz w:val="18"/>
                <w:szCs w:val="18"/>
              </w:rPr>
            </w:pPr>
            <w:r w:rsidRPr="00D42AB3">
              <w:rPr>
                <w:rFonts w:ascii="Aptos" w:hAnsi="Aptos" w:cs="Calibri"/>
                <w:sz w:val="18"/>
                <w:szCs w:val="18"/>
              </w:rPr>
              <w:t>Vodovod i kanalizacija d.o.o. Rijeka</w:t>
            </w:r>
          </w:p>
        </w:tc>
        <w:tc>
          <w:tcPr>
            <w:tcW w:w="1418" w:type="dxa"/>
            <w:shd w:val="clear" w:color="auto" w:fill="auto"/>
            <w:vAlign w:val="bottom"/>
            <w:hideMark/>
          </w:tcPr>
          <w:p w14:paraId="61108364"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80805858278</w:t>
            </w:r>
          </w:p>
        </w:tc>
        <w:tc>
          <w:tcPr>
            <w:tcW w:w="1701" w:type="dxa"/>
            <w:shd w:val="clear" w:color="auto" w:fill="auto"/>
            <w:vAlign w:val="bottom"/>
            <w:hideMark/>
          </w:tcPr>
          <w:p w14:paraId="518D6F0A"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113.653.925,28</w:t>
            </w:r>
          </w:p>
        </w:tc>
        <w:tc>
          <w:tcPr>
            <w:tcW w:w="1417" w:type="dxa"/>
            <w:shd w:val="clear" w:color="auto" w:fill="auto"/>
            <w:vAlign w:val="bottom"/>
            <w:hideMark/>
          </w:tcPr>
          <w:p w14:paraId="39E9B90F"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7,04%</w:t>
            </w:r>
          </w:p>
        </w:tc>
        <w:tc>
          <w:tcPr>
            <w:tcW w:w="1330" w:type="dxa"/>
            <w:shd w:val="clear" w:color="auto" w:fill="auto"/>
            <w:vAlign w:val="bottom"/>
            <w:hideMark/>
          </w:tcPr>
          <w:p w14:paraId="566D59E7"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8.002.150,11</w:t>
            </w:r>
          </w:p>
        </w:tc>
      </w:tr>
      <w:tr w:rsidR="00D42AB3" w:rsidRPr="00D42AB3" w14:paraId="1D8E228F" w14:textId="77777777" w:rsidTr="009D14B2">
        <w:trPr>
          <w:trHeight w:val="360"/>
        </w:trPr>
        <w:tc>
          <w:tcPr>
            <w:tcW w:w="3681" w:type="dxa"/>
            <w:shd w:val="clear" w:color="auto" w:fill="auto"/>
            <w:vAlign w:val="bottom"/>
            <w:hideMark/>
          </w:tcPr>
          <w:p w14:paraId="044BC408" w14:textId="77777777" w:rsidR="00D42AB3" w:rsidRPr="00D42AB3" w:rsidRDefault="00D42AB3" w:rsidP="00D42AB3">
            <w:pPr>
              <w:rPr>
                <w:rFonts w:ascii="Aptos" w:hAnsi="Aptos" w:cs="Calibri"/>
                <w:sz w:val="18"/>
                <w:szCs w:val="18"/>
              </w:rPr>
            </w:pPr>
            <w:r w:rsidRPr="00D42AB3">
              <w:rPr>
                <w:rFonts w:ascii="Aptos" w:hAnsi="Aptos" w:cs="Calibri"/>
                <w:sz w:val="18"/>
                <w:szCs w:val="18"/>
              </w:rPr>
              <w:t>Autotrolej d.o.o. Rijeka</w:t>
            </w:r>
          </w:p>
        </w:tc>
        <w:tc>
          <w:tcPr>
            <w:tcW w:w="1418" w:type="dxa"/>
            <w:shd w:val="clear" w:color="auto" w:fill="auto"/>
            <w:vAlign w:val="bottom"/>
            <w:hideMark/>
          </w:tcPr>
          <w:p w14:paraId="69AC2279"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19081493664</w:t>
            </w:r>
          </w:p>
        </w:tc>
        <w:tc>
          <w:tcPr>
            <w:tcW w:w="1701" w:type="dxa"/>
            <w:shd w:val="clear" w:color="auto" w:fill="auto"/>
            <w:vAlign w:val="bottom"/>
            <w:hideMark/>
          </w:tcPr>
          <w:p w14:paraId="0BB3654F"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1.778.724,53</w:t>
            </w:r>
          </w:p>
        </w:tc>
        <w:tc>
          <w:tcPr>
            <w:tcW w:w="1417" w:type="dxa"/>
            <w:shd w:val="clear" w:color="auto" w:fill="auto"/>
            <w:vAlign w:val="bottom"/>
            <w:hideMark/>
          </w:tcPr>
          <w:p w14:paraId="7C424A02"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2,71%</w:t>
            </w:r>
          </w:p>
        </w:tc>
        <w:tc>
          <w:tcPr>
            <w:tcW w:w="1330" w:type="dxa"/>
            <w:shd w:val="clear" w:color="auto" w:fill="auto"/>
            <w:vAlign w:val="bottom"/>
            <w:hideMark/>
          </w:tcPr>
          <w:p w14:paraId="161E256A"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48.178,38</w:t>
            </w:r>
          </w:p>
        </w:tc>
      </w:tr>
      <w:tr w:rsidR="00D42AB3" w:rsidRPr="00D42AB3" w14:paraId="566AFFF9" w14:textId="77777777" w:rsidTr="009D14B2">
        <w:trPr>
          <w:trHeight w:val="360"/>
        </w:trPr>
        <w:tc>
          <w:tcPr>
            <w:tcW w:w="3681" w:type="dxa"/>
            <w:shd w:val="clear" w:color="auto" w:fill="auto"/>
            <w:vAlign w:val="bottom"/>
            <w:hideMark/>
          </w:tcPr>
          <w:p w14:paraId="70D093A0" w14:textId="77777777" w:rsidR="00D42AB3" w:rsidRPr="00D42AB3" w:rsidRDefault="00D42AB3" w:rsidP="00D42AB3">
            <w:pPr>
              <w:rPr>
                <w:rFonts w:ascii="Aptos" w:hAnsi="Aptos" w:cs="Calibri"/>
                <w:sz w:val="18"/>
                <w:szCs w:val="18"/>
              </w:rPr>
            </w:pPr>
            <w:r w:rsidRPr="00D42AB3">
              <w:rPr>
                <w:rFonts w:ascii="Aptos" w:hAnsi="Aptos" w:cs="Calibri"/>
                <w:sz w:val="18"/>
                <w:szCs w:val="18"/>
              </w:rPr>
              <w:t>Čistoća d.o.o. Rijeka</w:t>
            </w:r>
          </w:p>
        </w:tc>
        <w:tc>
          <w:tcPr>
            <w:tcW w:w="1418" w:type="dxa"/>
            <w:shd w:val="clear" w:color="auto" w:fill="auto"/>
            <w:vAlign w:val="bottom"/>
            <w:hideMark/>
          </w:tcPr>
          <w:p w14:paraId="0CBC4C80"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06531901714</w:t>
            </w:r>
          </w:p>
        </w:tc>
        <w:tc>
          <w:tcPr>
            <w:tcW w:w="1701" w:type="dxa"/>
            <w:shd w:val="clear" w:color="auto" w:fill="auto"/>
            <w:vAlign w:val="bottom"/>
            <w:hideMark/>
          </w:tcPr>
          <w:p w14:paraId="2ECF8937"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3.250.726,66</w:t>
            </w:r>
          </w:p>
        </w:tc>
        <w:tc>
          <w:tcPr>
            <w:tcW w:w="1417" w:type="dxa"/>
            <w:shd w:val="clear" w:color="auto" w:fill="auto"/>
            <w:vAlign w:val="bottom"/>
            <w:hideMark/>
          </w:tcPr>
          <w:p w14:paraId="6ACFDE17"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3,84%</w:t>
            </w:r>
          </w:p>
        </w:tc>
        <w:tc>
          <w:tcPr>
            <w:tcW w:w="1330" w:type="dxa"/>
            <w:shd w:val="clear" w:color="auto" w:fill="auto"/>
            <w:vAlign w:val="bottom"/>
            <w:hideMark/>
          </w:tcPr>
          <w:p w14:paraId="438813C3"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124.719,62</w:t>
            </w:r>
          </w:p>
        </w:tc>
      </w:tr>
      <w:tr w:rsidR="00D42AB3" w:rsidRPr="00D42AB3" w14:paraId="4957D736" w14:textId="77777777" w:rsidTr="009D14B2">
        <w:trPr>
          <w:trHeight w:val="360"/>
        </w:trPr>
        <w:tc>
          <w:tcPr>
            <w:tcW w:w="3681" w:type="dxa"/>
            <w:shd w:val="clear" w:color="auto" w:fill="auto"/>
            <w:vAlign w:val="bottom"/>
            <w:hideMark/>
          </w:tcPr>
          <w:p w14:paraId="61EACF05" w14:textId="77777777" w:rsidR="00D42AB3" w:rsidRPr="00D42AB3" w:rsidRDefault="00D42AB3" w:rsidP="00D42AB3">
            <w:pPr>
              <w:rPr>
                <w:rFonts w:ascii="Aptos" w:hAnsi="Aptos" w:cs="Calibri"/>
                <w:sz w:val="18"/>
                <w:szCs w:val="18"/>
              </w:rPr>
            </w:pPr>
            <w:r w:rsidRPr="00D42AB3">
              <w:rPr>
                <w:rFonts w:ascii="Aptos" w:hAnsi="Aptos" w:cs="Calibri"/>
                <w:sz w:val="18"/>
                <w:szCs w:val="18"/>
              </w:rPr>
              <w:t>GKD Dobra d.o.o. Bakar</w:t>
            </w:r>
          </w:p>
        </w:tc>
        <w:tc>
          <w:tcPr>
            <w:tcW w:w="1418" w:type="dxa"/>
            <w:shd w:val="clear" w:color="auto" w:fill="auto"/>
            <w:vAlign w:val="bottom"/>
            <w:hideMark/>
          </w:tcPr>
          <w:p w14:paraId="0814CB4F"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03477896677</w:t>
            </w:r>
          </w:p>
        </w:tc>
        <w:tc>
          <w:tcPr>
            <w:tcW w:w="1701" w:type="dxa"/>
            <w:shd w:val="clear" w:color="auto" w:fill="auto"/>
            <w:vAlign w:val="bottom"/>
            <w:hideMark/>
          </w:tcPr>
          <w:p w14:paraId="20C85D08"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66.361,40</w:t>
            </w:r>
          </w:p>
        </w:tc>
        <w:tc>
          <w:tcPr>
            <w:tcW w:w="1417" w:type="dxa"/>
            <w:shd w:val="clear" w:color="auto" w:fill="auto"/>
            <w:vAlign w:val="bottom"/>
            <w:hideMark/>
          </w:tcPr>
          <w:p w14:paraId="41A5D2C0"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100,00%</w:t>
            </w:r>
          </w:p>
        </w:tc>
        <w:tc>
          <w:tcPr>
            <w:tcW w:w="1330" w:type="dxa"/>
            <w:shd w:val="clear" w:color="auto" w:fill="auto"/>
            <w:vAlign w:val="bottom"/>
            <w:hideMark/>
          </w:tcPr>
          <w:p w14:paraId="1192D73C"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66.361,40</w:t>
            </w:r>
          </w:p>
        </w:tc>
      </w:tr>
      <w:tr w:rsidR="00D42AB3" w:rsidRPr="00D42AB3" w14:paraId="459271A2" w14:textId="77777777" w:rsidTr="009D14B2">
        <w:trPr>
          <w:trHeight w:val="360"/>
        </w:trPr>
        <w:tc>
          <w:tcPr>
            <w:tcW w:w="3681" w:type="dxa"/>
            <w:shd w:val="clear" w:color="auto" w:fill="auto"/>
            <w:vAlign w:val="bottom"/>
            <w:hideMark/>
          </w:tcPr>
          <w:p w14:paraId="49E81838" w14:textId="77777777" w:rsidR="00D42AB3" w:rsidRPr="00D42AB3" w:rsidRDefault="00D42AB3" w:rsidP="00D42AB3">
            <w:pPr>
              <w:rPr>
                <w:rFonts w:ascii="Aptos" w:hAnsi="Aptos" w:cs="Calibri"/>
                <w:sz w:val="18"/>
                <w:szCs w:val="18"/>
              </w:rPr>
            </w:pPr>
            <w:r w:rsidRPr="00D42AB3">
              <w:rPr>
                <w:rFonts w:ascii="Aptos" w:hAnsi="Aptos" w:cs="Calibri"/>
                <w:sz w:val="18"/>
                <w:szCs w:val="18"/>
              </w:rPr>
              <w:t>Centar za poljoprivredu i ruralni razvoj Primorsko-goranske županije</w:t>
            </w:r>
          </w:p>
        </w:tc>
        <w:tc>
          <w:tcPr>
            <w:tcW w:w="1418" w:type="dxa"/>
            <w:shd w:val="clear" w:color="auto" w:fill="auto"/>
            <w:vAlign w:val="bottom"/>
            <w:hideMark/>
          </w:tcPr>
          <w:p w14:paraId="67F601DF"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07103881876</w:t>
            </w:r>
          </w:p>
        </w:tc>
        <w:tc>
          <w:tcPr>
            <w:tcW w:w="1701" w:type="dxa"/>
            <w:shd w:val="clear" w:color="auto" w:fill="auto"/>
            <w:vAlign w:val="bottom"/>
            <w:hideMark/>
          </w:tcPr>
          <w:p w14:paraId="63B2A692"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članski ulozi</w:t>
            </w:r>
          </w:p>
        </w:tc>
        <w:tc>
          <w:tcPr>
            <w:tcW w:w="1417" w:type="dxa"/>
            <w:shd w:val="clear" w:color="auto" w:fill="auto"/>
            <w:vAlign w:val="bottom"/>
            <w:hideMark/>
          </w:tcPr>
          <w:p w14:paraId="57AD11B8" w14:textId="77777777" w:rsidR="00D42AB3" w:rsidRPr="00D42AB3" w:rsidRDefault="00D42AB3" w:rsidP="00D42AB3">
            <w:pPr>
              <w:jc w:val="center"/>
              <w:rPr>
                <w:rFonts w:ascii="Aptos" w:hAnsi="Aptos" w:cs="Calibri"/>
                <w:sz w:val="18"/>
                <w:szCs w:val="18"/>
              </w:rPr>
            </w:pPr>
            <w:r w:rsidRPr="00D42AB3">
              <w:rPr>
                <w:rFonts w:ascii="Aptos" w:hAnsi="Aptos" w:cs="Calibri"/>
                <w:sz w:val="18"/>
                <w:szCs w:val="18"/>
              </w:rPr>
              <w:t>-</w:t>
            </w:r>
          </w:p>
        </w:tc>
        <w:tc>
          <w:tcPr>
            <w:tcW w:w="1330" w:type="dxa"/>
            <w:shd w:val="clear" w:color="auto" w:fill="auto"/>
            <w:vAlign w:val="bottom"/>
            <w:hideMark/>
          </w:tcPr>
          <w:p w14:paraId="258DA227" w14:textId="77777777" w:rsidR="00D42AB3" w:rsidRPr="00D42AB3" w:rsidRDefault="00D42AB3" w:rsidP="00D42AB3">
            <w:pPr>
              <w:jc w:val="right"/>
              <w:rPr>
                <w:rFonts w:ascii="Aptos" w:hAnsi="Aptos" w:cs="Calibri"/>
                <w:sz w:val="18"/>
                <w:szCs w:val="18"/>
              </w:rPr>
            </w:pPr>
            <w:r w:rsidRPr="00D42AB3">
              <w:rPr>
                <w:rFonts w:ascii="Aptos" w:hAnsi="Aptos" w:cs="Calibri"/>
                <w:sz w:val="18"/>
                <w:szCs w:val="18"/>
              </w:rPr>
              <w:t>663,61</w:t>
            </w:r>
          </w:p>
        </w:tc>
      </w:tr>
      <w:tr w:rsidR="00D42AB3" w:rsidRPr="00D42AB3" w14:paraId="24234044" w14:textId="77777777" w:rsidTr="009D14B2">
        <w:trPr>
          <w:trHeight w:val="360"/>
        </w:trPr>
        <w:tc>
          <w:tcPr>
            <w:tcW w:w="8217" w:type="dxa"/>
            <w:gridSpan w:val="4"/>
            <w:shd w:val="clear" w:color="auto" w:fill="D9D9D9" w:themeFill="background1" w:themeFillShade="D9"/>
            <w:noWrap/>
            <w:vAlign w:val="bottom"/>
            <w:hideMark/>
          </w:tcPr>
          <w:p w14:paraId="1E1E27EC" w14:textId="77777777" w:rsidR="00D42AB3" w:rsidRPr="00D42AB3" w:rsidRDefault="00D42AB3" w:rsidP="00D42AB3">
            <w:pPr>
              <w:jc w:val="right"/>
              <w:rPr>
                <w:rFonts w:ascii="Aptos" w:hAnsi="Aptos" w:cs="Calibri"/>
                <w:b/>
                <w:bCs/>
                <w:sz w:val="18"/>
                <w:szCs w:val="18"/>
              </w:rPr>
            </w:pPr>
            <w:r w:rsidRPr="00D42AB3">
              <w:rPr>
                <w:rFonts w:ascii="Aptos" w:hAnsi="Aptos" w:cs="Calibri"/>
                <w:b/>
                <w:bCs/>
                <w:sz w:val="18"/>
                <w:szCs w:val="18"/>
              </w:rPr>
              <w:t>UKUPNO</w:t>
            </w:r>
          </w:p>
        </w:tc>
        <w:tc>
          <w:tcPr>
            <w:tcW w:w="1330" w:type="dxa"/>
            <w:shd w:val="clear" w:color="auto" w:fill="D9D9D9" w:themeFill="background1" w:themeFillShade="D9"/>
            <w:noWrap/>
            <w:vAlign w:val="bottom"/>
            <w:hideMark/>
          </w:tcPr>
          <w:p w14:paraId="05EE5AEF" w14:textId="77777777" w:rsidR="00D42AB3" w:rsidRPr="00D42AB3" w:rsidRDefault="00D42AB3" w:rsidP="00D42AB3">
            <w:pPr>
              <w:jc w:val="right"/>
              <w:rPr>
                <w:rFonts w:ascii="Aptos" w:hAnsi="Aptos" w:cs="Calibri"/>
                <w:b/>
                <w:bCs/>
                <w:sz w:val="18"/>
                <w:szCs w:val="18"/>
              </w:rPr>
            </w:pPr>
            <w:r w:rsidRPr="00D42AB3">
              <w:rPr>
                <w:rFonts w:ascii="Aptos" w:hAnsi="Aptos" w:cs="Calibri"/>
                <w:b/>
                <w:bCs/>
                <w:sz w:val="18"/>
                <w:szCs w:val="18"/>
              </w:rPr>
              <w:t>30.872.903,12</w:t>
            </w:r>
          </w:p>
        </w:tc>
      </w:tr>
    </w:tbl>
    <w:p w14:paraId="5F4A491C" w14:textId="2310C111" w:rsidR="00F41919" w:rsidRPr="00D42AB3" w:rsidRDefault="00F41919" w:rsidP="00D42AB3">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r w:rsidR="009D14B2">
        <w:rPr>
          <w:rFonts w:ascii="Aptos" w:hAnsi="Aptos" w:cs="Calibri"/>
          <w:b/>
          <w:bCs/>
          <w:color w:val="000000"/>
          <w:sz w:val="22"/>
          <w:szCs w:val="22"/>
        </w:rPr>
        <w:t>2</w:t>
      </w:r>
      <w:r w:rsidRPr="00F61B8D">
        <w:rPr>
          <w:rFonts w:ascii="Aptos" w:hAnsi="Aptos" w:cs="Calibri"/>
          <w:b/>
          <w:bCs/>
          <w:color w:val="000000"/>
          <w:sz w:val="22"/>
          <w:szCs w:val="22"/>
        </w:rPr>
        <w:t>.</w:t>
      </w:r>
    </w:p>
    <w:p w14:paraId="3416F34C" w14:textId="67771AC1" w:rsidR="005C3EC0" w:rsidRPr="00F61B8D" w:rsidRDefault="00B3766C" w:rsidP="005C3EC0">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16</w:t>
      </w:r>
      <w:r w:rsidR="002170B0" w:rsidRPr="00F61B8D">
        <w:rPr>
          <w:rFonts w:ascii="Aptos" w:hAnsi="Aptos" w:cstheme="minorHAnsi"/>
          <w:b/>
          <w:sz w:val="22"/>
          <w:szCs w:val="22"/>
        </w:rPr>
        <w:t xml:space="preserve"> </w:t>
      </w:r>
      <w:r w:rsidR="00C23DDE" w:rsidRPr="00F61B8D">
        <w:rPr>
          <w:rFonts w:ascii="Aptos" w:hAnsi="Aptos" w:cstheme="minorHAnsi"/>
          <w:b/>
          <w:sz w:val="22"/>
          <w:szCs w:val="22"/>
        </w:rPr>
        <w:t xml:space="preserve"> - Potraživanja za prihode poslovanja</w:t>
      </w:r>
    </w:p>
    <w:p w14:paraId="0EF96CA8" w14:textId="5AFDCA09" w:rsidR="00411855" w:rsidRPr="00F61B8D" w:rsidRDefault="00AB5AD6" w:rsidP="00AE1891">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Ukupna p</w:t>
      </w:r>
      <w:r w:rsidR="003573A7" w:rsidRPr="00F61B8D">
        <w:rPr>
          <w:rFonts w:ascii="Aptos" w:hAnsi="Aptos" w:cstheme="minorHAnsi"/>
          <w:sz w:val="22"/>
          <w:szCs w:val="22"/>
        </w:rPr>
        <w:t xml:space="preserve">otraživanja Grada Bakra </w:t>
      </w:r>
      <w:r w:rsidR="0045691B" w:rsidRPr="00F61B8D">
        <w:rPr>
          <w:rFonts w:ascii="Aptos" w:hAnsi="Aptos" w:cstheme="minorHAnsi"/>
          <w:sz w:val="22"/>
          <w:szCs w:val="22"/>
        </w:rPr>
        <w:t>za prihode poslovanja</w:t>
      </w:r>
      <w:r w:rsidR="00401951" w:rsidRPr="00F61B8D">
        <w:rPr>
          <w:rFonts w:ascii="Aptos" w:hAnsi="Aptos" w:cstheme="minorHAnsi"/>
          <w:sz w:val="22"/>
          <w:szCs w:val="22"/>
        </w:rPr>
        <w:t xml:space="preserve"> na dan 31. prosinca 20</w:t>
      </w:r>
      <w:r w:rsidR="007D2E0C" w:rsidRPr="00F61B8D">
        <w:rPr>
          <w:rFonts w:ascii="Aptos" w:hAnsi="Aptos" w:cstheme="minorHAnsi"/>
          <w:sz w:val="22"/>
          <w:szCs w:val="22"/>
        </w:rPr>
        <w:t>2</w:t>
      </w:r>
      <w:r w:rsidR="005C3EC0" w:rsidRPr="00F61B8D">
        <w:rPr>
          <w:rFonts w:ascii="Aptos" w:hAnsi="Aptos" w:cstheme="minorHAnsi"/>
          <w:sz w:val="22"/>
          <w:szCs w:val="22"/>
        </w:rPr>
        <w:t>3</w:t>
      </w:r>
      <w:r w:rsidR="00401951" w:rsidRPr="00F61B8D">
        <w:rPr>
          <w:rFonts w:ascii="Aptos" w:hAnsi="Aptos" w:cstheme="minorHAnsi"/>
          <w:sz w:val="22"/>
          <w:szCs w:val="22"/>
        </w:rPr>
        <w:t>. godine</w:t>
      </w:r>
      <w:r w:rsidR="0045691B" w:rsidRPr="00F61B8D">
        <w:rPr>
          <w:rFonts w:ascii="Aptos" w:hAnsi="Aptos" w:cstheme="minorHAnsi"/>
          <w:sz w:val="22"/>
          <w:szCs w:val="22"/>
        </w:rPr>
        <w:t xml:space="preserve">  </w:t>
      </w:r>
      <w:r w:rsidR="003573A7" w:rsidRPr="00F61B8D">
        <w:rPr>
          <w:rFonts w:ascii="Aptos" w:hAnsi="Aptos" w:cstheme="minorHAnsi"/>
          <w:sz w:val="22"/>
          <w:szCs w:val="22"/>
        </w:rPr>
        <w:t>iznose</w:t>
      </w:r>
      <w:r w:rsidR="00262245" w:rsidRPr="00F61B8D">
        <w:rPr>
          <w:rFonts w:ascii="Aptos" w:hAnsi="Aptos" w:cstheme="minorHAnsi"/>
          <w:sz w:val="22"/>
          <w:szCs w:val="22"/>
        </w:rPr>
        <w:t xml:space="preserve"> </w:t>
      </w:r>
      <w:r w:rsidR="005C3EC0" w:rsidRPr="00F61B8D">
        <w:rPr>
          <w:rFonts w:ascii="Aptos" w:hAnsi="Aptos" w:cstheme="minorHAnsi"/>
          <w:sz w:val="22"/>
          <w:szCs w:val="22"/>
        </w:rPr>
        <w:t>1.139.190,75 €</w:t>
      </w:r>
      <w:r w:rsidR="00262245" w:rsidRPr="00F61B8D">
        <w:rPr>
          <w:rFonts w:ascii="Aptos" w:hAnsi="Aptos" w:cstheme="minorHAnsi"/>
          <w:sz w:val="22"/>
          <w:szCs w:val="22"/>
        </w:rPr>
        <w:t>, što je u odnosu na 202</w:t>
      </w:r>
      <w:r w:rsidR="005C3EC0" w:rsidRPr="00F61B8D">
        <w:rPr>
          <w:rFonts w:ascii="Aptos" w:hAnsi="Aptos" w:cstheme="minorHAnsi"/>
          <w:sz w:val="22"/>
          <w:szCs w:val="22"/>
        </w:rPr>
        <w:t>2</w:t>
      </w:r>
      <w:r w:rsidR="00262245" w:rsidRPr="00F61B8D">
        <w:rPr>
          <w:rFonts w:ascii="Aptos" w:hAnsi="Aptos" w:cstheme="minorHAnsi"/>
          <w:sz w:val="22"/>
          <w:szCs w:val="22"/>
        </w:rPr>
        <w:t xml:space="preserve">. godinu </w:t>
      </w:r>
      <w:r w:rsidR="005C3EC0" w:rsidRPr="00F61B8D">
        <w:rPr>
          <w:rFonts w:ascii="Aptos" w:hAnsi="Aptos" w:cstheme="minorHAnsi"/>
          <w:sz w:val="22"/>
          <w:szCs w:val="22"/>
        </w:rPr>
        <w:t>više za 20,5%</w:t>
      </w:r>
      <w:r w:rsidR="00262245" w:rsidRPr="00F61B8D">
        <w:rPr>
          <w:rFonts w:ascii="Aptos" w:hAnsi="Aptos" w:cstheme="minorHAnsi"/>
          <w:sz w:val="22"/>
          <w:szCs w:val="22"/>
        </w:rPr>
        <w:t xml:space="preserve">, prvenstveno radi </w:t>
      </w:r>
      <w:r w:rsidR="005C3EC0" w:rsidRPr="00F61B8D">
        <w:rPr>
          <w:rFonts w:ascii="Aptos" w:hAnsi="Aptos" w:cstheme="minorHAnsi"/>
          <w:sz w:val="22"/>
          <w:szCs w:val="22"/>
        </w:rPr>
        <w:t>većih potraživanja od zakupa i iznajmljivanja imovine</w:t>
      </w:r>
      <w:r w:rsidR="00411855" w:rsidRPr="00F61B8D">
        <w:rPr>
          <w:rFonts w:ascii="Aptos" w:hAnsi="Aptos" w:cstheme="minorHAnsi"/>
          <w:sz w:val="22"/>
          <w:szCs w:val="22"/>
        </w:rPr>
        <w:t xml:space="preserve"> </w:t>
      </w:r>
      <w:r w:rsidR="005C3EC0" w:rsidRPr="00F61B8D">
        <w:rPr>
          <w:rFonts w:ascii="Aptos" w:hAnsi="Aptos" w:cstheme="minorHAnsi"/>
          <w:sz w:val="22"/>
          <w:szCs w:val="22"/>
        </w:rPr>
        <w:t xml:space="preserve">proizašlih iz </w:t>
      </w:r>
      <w:r w:rsidR="00411855" w:rsidRPr="00F61B8D">
        <w:rPr>
          <w:rFonts w:ascii="Aptos" w:hAnsi="Aptos" w:cstheme="minorHAnsi"/>
          <w:sz w:val="22"/>
          <w:szCs w:val="22"/>
        </w:rPr>
        <w:t>sklopljenog ugovora o zakupu nekretnin</w:t>
      </w:r>
      <w:r w:rsidR="00AE1891" w:rsidRPr="00F61B8D">
        <w:rPr>
          <w:rFonts w:ascii="Aptos" w:hAnsi="Aptos" w:cstheme="minorHAnsi"/>
          <w:sz w:val="22"/>
          <w:szCs w:val="22"/>
        </w:rPr>
        <w:t>a</w:t>
      </w:r>
      <w:r w:rsidR="00411855" w:rsidRPr="00F61B8D">
        <w:rPr>
          <w:rFonts w:ascii="Aptos" w:hAnsi="Aptos" w:cstheme="minorHAnsi"/>
          <w:sz w:val="22"/>
          <w:szCs w:val="22"/>
        </w:rPr>
        <w:t xml:space="preserve"> na platou koksare darovan</w:t>
      </w:r>
      <w:r w:rsidR="00AE1891" w:rsidRPr="00F61B8D">
        <w:rPr>
          <w:rFonts w:ascii="Aptos" w:hAnsi="Aptos" w:cstheme="minorHAnsi"/>
          <w:sz w:val="22"/>
          <w:szCs w:val="22"/>
        </w:rPr>
        <w:t>ih</w:t>
      </w:r>
      <w:r w:rsidR="00411855" w:rsidRPr="00F61B8D">
        <w:rPr>
          <w:rFonts w:ascii="Aptos" w:hAnsi="Aptos" w:cstheme="minorHAnsi"/>
          <w:sz w:val="22"/>
          <w:szCs w:val="22"/>
        </w:rPr>
        <w:t xml:space="preserve"> od Republike Hrvatske</w:t>
      </w:r>
      <w:r w:rsidR="00AE1891" w:rsidRPr="00F61B8D">
        <w:rPr>
          <w:rFonts w:ascii="Aptos" w:hAnsi="Aptos" w:cstheme="minorHAnsi"/>
          <w:sz w:val="22"/>
          <w:szCs w:val="22"/>
        </w:rPr>
        <w:t xml:space="preserve"> početkom godine, kao i donesene odluke </w:t>
      </w:r>
      <w:r w:rsidR="00411855" w:rsidRPr="00F61B8D">
        <w:rPr>
          <w:rFonts w:ascii="Aptos" w:hAnsi="Aptos" w:cstheme="minorHAnsi"/>
          <w:sz w:val="22"/>
          <w:szCs w:val="22"/>
        </w:rPr>
        <w:t xml:space="preserve">o obročnoj otplati duga sukladno odredbama Uredbe o kriterijima, mjerilima i postupku za odgodu plaćanja, obročnu otplatu duga te prodaju, otpis ili djelomičan otpis potraživanja (Narodne novine broj 52/13, 94/14, 144/21). </w:t>
      </w:r>
    </w:p>
    <w:p w14:paraId="7254B750" w14:textId="77777777" w:rsidR="00AE1891" w:rsidRPr="00F61B8D" w:rsidRDefault="00AF077A" w:rsidP="00AE1891">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Sukladno Pravilnik</w:t>
      </w:r>
      <w:r w:rsidR="00262245" w:rsidRPr="00F61B8D">
        <w:rPr>
          <w:rFonts w:ascii="Aptos" w:hAnsi="Aptos" w:cstheme="minorHAnsi"/>
          <w:sz w:val="22"/>
          <w:szCs w:val="22"/>
        </w:rPr>
        <w:t>u</w:t>
      </w:r>
      <w:r w:rsidRPr="00F61B8D">
        <w:rPr>
          <w:rFonts w:ascii="Aptos" w:hAnsi="Aptos" w:cstheme="minorHAnsi"/>
          <w:sz w:val="22"/>
          <w:szCs w:val="22"/>
        </w:rPr>
        <w:t xml:space="preserve"> o proračunskom računovodstvu i računskom planu </w:t>
      </w:r>
      <w:r w:rsidR="00262245" w:rsidRPr="00F61B8D">
        <w:rPr>
          <w:rFonts w:ascii="Aptos" w:hAnsi="Aptos" w:cstheme="minorHAnsi"/>
          <w:sz w:val="22"/>
          <w:szCs w:val="22"/>
        </w:rPr>
        <w:t>izvršen</w:t>
      </w:r>
      <w:r w:rsidRPr="00F61B8D">
        <w:rPr>
          <w:rFonts w:ascii="Aptos" w:hAnsi="Aptos" w:cstheme="minorHAnsi"/>
          <w:sz w:val="22"/>
          <w:szCs w:val="22"/>
        </w:rPr>
        <w:t xml:space="preserve"> je ispravak vrijednosti potraživan</w:t>
      </w:r>
      <w:r w:rsidR="00AF5722" w:rsidRPr="00F61B8D">
        <w:rPr>
          <w:rFonts w:ascii="Aptos" w:hAnsi="Aptos" w:cstheme="minorHAnsi"/>
          <w:sz w:val="22"/>
          <w:szCs w:val="22"/>
        </w:rPr>
        <w:t>j</w:t>
      </w:r>
      <w:r w:rsidRPr="00F61B8D">
        <w:rPr>
          <w:rFonts w:ascii="Aptos" w:hAnsi="Aptos" w:cstheme="minorHAnsi"/>
          <w:sz w:val="22"/>
          <w:szCs w:val="22"/>
        </w:rPr>
        <w:t>a s obzirom na kašnjenje u naplati preko godine dana i pokretanje stečajnog  i/ili likvidacijskog postupka</w:t>
      </w:r>
      <w:r w:rsidR="000C46D2" w:rsidRPr="00F61B8D">
        <w:rPr>
          <w:rFonts w:ascii="Aptos" w:hAnsi="Aptos" w:cstheme="minorHAnsi"/>
          <w:sz w:val="22"/>
          <w:szCs w:val="22"/>
        </w:rPr>
        <w:t xml:space="preserve"> u </w:t>
      </w:r>
      <w:r w:rsidRPr="00F61B8D">
        <w:rPr>
          <w:rFonts w:ascii="Aptos" w:hAnsi="Aptos" w:cstheme="minorHAnsi"/>
          <w:sz w:val="22"/>
          <w:szCs w:val="22"/>
        </w:rPr>
        <w:t xml:space="preserve"> iznos</w:t>
      </w:r>
      <w:r w:rsidR="000C46D2" w:rsidRPr="00F61B8D">
        <w:rPr>
          <w:rFonts w:ascii="Aptos" w:hAnsi="Aptos" w:cstheme="minorHAnsi"/>
          <w:sz w:val="22"/>
          <w:szCs w:val="22"/>
        </w:rPr>
        <w:t>u od</w:t>
      </w:r>
      <w:r w:rsidRPr="00F61B8D">
        <w:rPr>
          <w:rFonts w:ascii="Aptos" w:hAnsi="Aptos" w:cstheme="minorHAnsi"/>
          <w:sz w:val="22"/>
          <w:szCs w:val="22"/>
        </w:rPr>
        <w:t xml:space="preserve"> </w:t>
      </w:r>
      <w:r w:rsidR="00AE1891" w:rsidRPr="00F61B8D">
        <w:rPr>
          <w:rFonts w:ascii="Aptos" w:hAnsi="Aptos" w:cstheme="minorHAnsi"/>
          <w:sz w:val="22"/>
          <w:szCs w:val="22"/>
        </w:rPr>
        <w:t>316.072,82 €</w:t>
      </w:r>
      <w:r w:rsidRPr="00F61B8D">
        <w:rPr>
          <w:rFonts w:ascii="Aptos" w:hAnsi="Aptos" w:cstheme="minorHAnsi"/>
          <w:sz w:val="22"/>
          <w:szCs w:val="22"/>
        </w:rPr>
        <w:t>.</w:t>
      </w:r>
    </w:p>
    <w:p w14:paraId="3B435CDA" w14:textId="027CCD43" w:rsidR="008C116A" w:rsidRPr="00F61B8D" w:rsidRDefault="00DA3A55" w:rsidP="00AE1891">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Pre</w:t>
      </w:r>
      <w:r w:rsidR="00A661FB" w:rsidRPr="00F61B8D">
        <w:rPr>
          <w:rFonts w:ascii="Aptos" w:hAnsi="Aptos" w:cstheme="minorHAnsi"/>
          <w:sz w:val="22"/>
          <w:szCs w:val="22"/>
        </w:rPr>
        <w:t xml:space="preserve">ma podacima iz bilance na </w:t>
      </w:r>
      <w:r w:rsidRPr="00F61B8D">
        <w:rPr>
          <w:rFonts w:ascii="Aptos" w:hAnsi="Aptos" w:cstheme="minorHAnsi"/>
          <w:sz w:val="22"/>
          <w:szCs w:val="22"/>
        </w:rPr>
        <w:t>dan 31.12.20</w:t>
      </w:r>
      <w:r w:rsidR="00AF5722" w:rsidRPr="00F61B8D">
        <w:rPr>
          <w:rFonts w:ascii="Aptos" w:hAnsi="Aptos" w:cstheme="minorHAnsi"/>
          <w:sz w:val="22"/>
          <w:szCs w:val="22"/>
        </w:rPr>
        <w:t>2</w:t>
      </w:r>
      <w:r w:rsidR="00AE1891" w:rsidRPr="00F61B8D">
        <w:rPr>
          <w:rFonts w:ascii="Aptos" w:hAnsi="Aptos" w:cstheme="minorHAnsi"/>
          <w:sz w:val="22"/>
          <w:szCs w:val="22"/>
        </w:rPr>
        <w:t>3</w:t>
      </w:r>
      <w:r w:rsidRPr="00F61B8D">
        <w:rPr>
          <w:rFonts w:ascii="Aptos" w:hAnsi="Aptos" w:cstheme="minorHAnsi"/>
          <w:sz w:val="22"/>
          <w:szCs w:val="22"/>
        </w:rPr>
        <w:t>. godine evidentirana su slijedeća potraživanja</w:t>
      </w:r>
      <w:r w:rsidR="00E763BC" w:rsidRPr="00F61B8D">
        <w:rPr>
          <w:rFonts w:ascii="Aptos" w:hAnsi="Aptos" w:cstheme="minorHAnsi"/>
          <w:sz w:val="22"/>
          <w:szCs w:val="22"/>
        </w:rPr>
        <w:t xml:space="preserve"> za prihode poslovanja</w:t>
      </w:r>
      <w:r w:rsidRPr="00F61B8D">
        <w:rPr>
          <w:rFonts w:ascii="Aptos" w:hAnsi="Aptos" w:cstheme="minorHAnsi"/>
          <w:sz w:val="22"/>
          <w:szCs w:val="22"/>
        </w:rPr>
        <w:t>:</w:t>
      </w:r>
    </w:p>
    <w:tbl>
      <w:tblPr>
        <w:tblW w:w="8510" w:type="dxa"/>
        <w:tblInd w:w="-5" w:type="dxa"/>
        <w:tblLook w:val="04A0" w:firstRow="1" w:lastRow="0" w:firstColumn="1" w:lastColumn="0" w:noHBand="0" w:noVBand="1"/>
      </w:tblPr>
      <w:tblGrid>
        <w:gridCol w:w="1108"/>
        <w:gridCol w:w="5843"/>
        <w:gridCol w:w="1559"/>
      </w:tblGrid>
      <w:tr w:rsidR="0075613D" w:rsidRPr="00CB4B01" w14:paraId="7355005C" w14:textId="77777777" w:rsidTr="0075613D">
        <w:trPr>
          <w:trHeight w:val="360"/>
        </w:trPr>
        <w:tc>
          <w:tcPr>
            <w:tcW w:w="1108" w:type="dxa"/>
            <w:vMerge w:val="restart"/>
            <w:shd w:val="clear" w:color="000000" w:fill="C5D9F1"/>
            <w:vAlign w:val="center"/>
            <w:hideMark/>
          </w:tcPr>
          <w:p w14:paraId="4B693B04" w14:textId="77777777" w:rsidR="0075613D" w:rsidRPr="00A211B6" w:rsidRDefault="0075613D" w:rsidP="0075613D">
            <w:pPr>
              <w:jc w:val="center"/>
              <w:rPr>
                <w:rFonts w:ascii="Aptos" w:hAnsi="Aptos" w:cs="Arial"/>
                <w:b/>
                <w:bCs/>
                <w:sz w:val="18"/>
                <w:szCs w:val="18"/>
              </w:rPr>
            </w:pPr>
            <w:r w:rsidRPr="00A211B6">
              <w:rPr>
                <w:rFonts w:ascii="Aptos" w:hAnsi="Aptos" w:cs="Arial"/>
                <w:b/>
                <w:bCs/>
                <w:sz w:val="18"/>
                <w:szCs w:val="18"/>
              </w:rPr>
              <w:t>KONTO</w:t>
            </w:r>
          </w:p>
        </w:tc>
        <w:tc>
          <w:tcPr>
            <w:tcW w:w="5843" w:type="dxa"/>
            <w:vMerge w:val="restart"/>
            <w:shd w:val="clear" w:color="000000" w:fill="C5D9F1"/>
            <w:vAlign w:val="center"/>
            <w:hideMark/>
          </w:tcPr>
          <w:p w14:paraId="1F09D63B" w14:textId="77777777" w:rsidR="0075613D" w:rsidRPr="00A211B6" w:rsidRDefault="0075613D" w:rsidP="0075613D">
            <w:pPr>
              <w:jc w:val="center"/>
              <w:rPr>
                <w:rFonts w:ascii="Aptos" w:hAnsi="Aptos" w:cs="Arial"/>
                <w:b/>
                <w:bCs/>
                <w:sz w:val="18"/>
                <w:szCs w:val="18"/>
              </w:rPr>
            </w:pPr>
            <w:r w:rsidRPr="00A211B6">
              <w:rPr>
                <w:rFonts w:ascii="Aptos" w:hAnsi="Aptos" w:cs="Arial"/>
                <w:b/>
                <w:bCs/>
                <w:sz w:val="18"/>
                <w:szCs w:val="18"/>
              </w:rPr>
              <w:t>VRSTA POTRAŽIVANJA</w:t>
            </w:r>
          </w:p>
        </w:tc>
        <w:tc>
          <w:tcPr>
            <w:tcW w:w="1559" w:type="dxa"/>
            <w:vMerge w:val="restart"/>
            <w:shd w:val="clear" w:color="000000" w:fill="C5D9F1"/>
            <w:vAlign w:val="center"/>
            <w:hideMark/>
          </w:tcPr>
          <w:p w14:paraId="576C5DBD" w14:textId="47493173" w:rsidR="0075613D" w:rsidRPr="00A211B6" w:rsidRDefault="0075613D" w:rsidP="0075613D">
            <w:pPr>
              <w:jc w:val="center"/>
              <w:rPr>
                <w:rFonts w:ascii="Aptos" w:hAnsi="Aptos" w:cs="Arial"/>
                <w:b/>
                <w:bCs/>
                <w:sz w:val="18"/>
                <w:szCs w:val="18"/>
              </w:rPr>
            </w:pPr>
            <w:r w:rsidRPr="00A211B6">
              <w:rPr>
                <w:rFonts w:ascii="Aptos" w:hAnsi="Aptos" w:cs="Arial"/>
                <w:b/>
                <w:bCs/>
                <w:sz w:val="18"/>
                <w:szCs w:val="18"/>
              </w:rPr>
              <w:t>SALDO</w:t>
            </w:r>
            <w:r w:rsidRPr="00A211B6">
              <w:rPr>
                <w:rFonts w:ascii="Aptos" w:hAnsi="Aptos" w:cs="Arial"/>
                <w:b/>
                <w:bCs/>
                <w:sz w:val="18"/>
                <w:szCs w:val="18"/>
              </w:rPr>
              <w:br/>
            </w:r>
          </w:p>
        </w:tc>
      </w:tr>
      <w:tr w:rsidR="0075613D" w:rsidRPr="00CB4B01" w14:paraId="69857224" w14:textId="77777777" w:rsidTr="0075613D">
        <w:trPr>
          <w:trHeight w:val="269"/>
        </w:trPr>
        <w:tc>
          <w:tcPr>
            <w:tcW w:w="1108" w:type="dxa"/>
            <w:vMerge/>
            <w:vAlign w:val="center"/>
            <w:hideMark/>
          </w:tcPr>
          <w:p w14:paraId="1EFBCE6C" w14:textId="77777777" w:rsidR="0075613D" w:rsidRPr="00A211B6" w:rsidRDefault="0075613D" w:rsidP="00A211B6">
            <w:pPr>
              <w:rPr>
                <w:rFonts w:ascii="Aptos" w:hAnsi="Aptos" w:cs="Arial"/>
                <w:b/>
                <w:bCs/>
                <w:sz w:val="18"/>
                <w:szCs w:val="18"/>
              </w:rPr>
            </w:pPr>
          </w:p>
        </w:tc>
        <w:tc>
          <w:tcPr>
            <w:tcW w:w="5843" w:type="dxa"/>
            <w:vMerge/>
            <w:vAlign w:val="center"/>
            <w:hideMark/>
          </w:tcPr>
          <w:p w14:paraId="3D2AC898" w14:textId="77777777" w:rsidR="0075613D" w:rsidRPr="00A211B6" w:rsidRDefault="0075613D" w:rsidP="00A211B6">
            <w:pPr>
              <w:rPr>
                <w:rFonts w:ascii="Aptos" w:hAnsi="Aptos" w:cs="Arial"/>
                <w:b/>
                <w:bCs/>
                <w:sz w:val="18"/>
                <w:szCs w:val="18"/>
              </w:rPr>
            </w:pPr>
          </w:p>
        </w:tc>
        <w:tc>
          <w:tcPr>
            <w:tcW w:w="1559" w:type="dxa"/>
            <w:vMerge/>
            <w:vAlign w:val="center"/>
            <w:hideMark/>
          </w:tcPr>
          <w:p w14:paraId="2D5E5460" w14:textId="77777777" w:rsidR="0075613D" w:rsidRPr="00A211B6" w:rsidRDefault="0075613D" w:rsidP="00A211B6">
            <w:pPr>
              <w:rPr>
                <w:rFonts w:ascii="Aptos" w:hAnsi="Aptos" w:cs="Arial"/>
                <w:b/>
                <w:bCs/>
                <w:sz w:val="18"/>
                <w:szCs w:val="18"/>
              </w:rPr>
            </w:pPr>
          </w:p>
        </w:tc>
      </w:tr>
      <w:tr w:rsidR="0075613D" w:rsidRPr="00CB4B01" w14:paraId="5FF6CC06" w14:textId="77777777" w:rsidTr="0075613D">
        <w:trPr>
          <w:trHeight w:val="360"/>
        </w:trPr>
        <w:tc>
          <w:tcPr>
            <w:tcW w:w="1108" w:type="dxa"/>
            <w:shd w:val="clear" w:color="auto" w:fill="auto"/>
            <w:vAlign w:val="center"/>
            <w:hideMark/>
          </w:tcPr>
          <w:p w14:paraId="3F78AF83"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161  31</w:t>
            </w:r>
          </w:p>
        </w:tc>
        <w:tc>
          <w:tcPr>
            <w:tcW w:w="5843" w:type="dxa"/>
            <w:shd w:val="clear" w:color="auto" w:fill="auto"/>
            <w:vAlign w:val="center"/>
            <w:hideMark/>
          </w:tcPr>
          <w:p w14:paraId="13F205AA" w14:textId="77777777" w:rsidR="0075613D" w:rsidRPr="00A211B6" w:rsidRDefault="0075613D" w:rsidP="0075613D">
            <w:pPr>
              <w:rPr>
                <w:rFonts w:ascii="Aptos" w:hAnsi="Aptos" w:cs="Arial"/>
                <w:sz w:val="18"/>
                <w:szCs w:val="18"/>
              </w:rPr>
            </w:pPr>
            <w:r w:rsidRPr="00A211B6">
              <w:rPr>
                <w:rFonts w:ascii="Aptos" w:hAnsi="Aptos" w:cs="Arial"/>
                <w:sz w:val="18"/>
                <w:szCs w:val="18"/>
              </w:rPr>
              <w:t xml:space="preserve">Potraživanja s osnove poreza na kuću za odmor </w:t>
            </w:r>
          </w:p>
        </w:tc>
        <w:tc>
          <w:tcPr>
            <w:tcW w:w="1559" w:type="dxa"/>
            <w:shd w:val="clear" w:color="auto" w:fill="auto"/>
            <w:vAlign w:val="center"/>
            <w:hideMark/>
          </w:tcPr>
          <w:p w14:paraId="46D012C4"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2.096,27</w:t>
            </w:r>
          </w:p>
        </w:tc>
      </w:tr>
      <w:tr w:rsidR="0075613D" w:rsidRPr="00CB4B01" w14:paraId="693BA141" w14:textId="77777777" w:rsidTr="0075613D">
        <w:trPr>
          <w:trHeight w:val="360"/>
        </w:trPr>
        <w:tc>
          <w:tcPr>
            <w:tcW w:w="1108" w:type="dxa"/>
            <w:shd w:val="clear" w:color="auto" w:fill="auto"/>
            <w:vAlign w:val="center"/>
            <w:hideMark/>
          </w:tcPr>
          <w:p w14:paraId="19FDEA55"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161 42</w:t>
            </w:r>
          </w:p>
        </w:tc>
        <w:tc>
          <w:tcPr>
            <w:tcW w:w="5843" w:type="dxa"/>
            <w:shd w:val="clear" w:color="auto" w:fill="auto"/>
            <w:vAlign w:val="center"/>
            <w:hideMark/>
          </w:tcPr>
          <w:p w14:paraId="3D1384CA"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s osnove poreza na potrošnju</w:t>
            </w:r>
          </w:p>
        </w:tc>
        <w:tc>
          <w:tcPr>
            <w:tcW w:w="1559" w:type="dxa"/>
            <w:shd w:val="clear" w:color="auto" w:fill="auto"/>
            <w:vAlign w:val="center"/>
            <w:hideMark/>
          </w:tcPr>
          <w:p w14:paraId="30D9FEEB"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3.134,14</w:t>
            </w:r>
          </w:p>
        </w:tc>
      </w:tr>
      <w:tr w:rsidR="0075613D" w:rsidRPr="00CB4B01" w14:paraId="6FAA49EB" w14:textId="77777777" w:rsidTr="0075613D">
        <w:trPr>
          <w:trHeight w:val="360"/>
        </w:trPr>
        <w:tc>
          <w:tcPr>
            <w:tcW w:w="1108" w:type="dxa"/>
            <w:shd w:val="clear" w:color="auto" w:fill="auto"/>
            <w:vAlign w:val="center"/>
            <w:hideMark/>
          </w:tcPr>
          <w:p w14:paraId="2FA63CC4"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161 34</w:t>
            </w:r>
          </w:p>
        </w:tc>
        <w:tc>
          <w:tcPr>
            <w:tcW w:w="5843" w:type="dxa"/>
            <w:shd w:val="clear" w:color="auto" w:fill="auto"/>
            <w:vAlign w:val="center"/>
            <w:hideMark/>
          </w:tcPr>
          <w:p w14:paraId="1775F23D"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s osnove poreza na promet nekretnina</w:t>
            </w:r>
          </w:p>
        </w:tc>
        <w:tc>
          <w:tcPr>
            <w:tcW w:w="1559" w:type="dxa"/>
            <w:shd w:val="clear" w:color="auto" w:fill="auto"/>
            <w:vAlign w:val="center"/>
            <w:hideMark/>
          </w:tcPr>
          <w:p w14:paraId="22DAC921"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93.265,83</w:t>
            </w:r>
          </w:p>
        </w:tc>
      </w:tr>
      <w:tr w:rsidR="0075613D" w:rsidRPr="00CB4B01" w14:paraId="648C32D9" w14:textId="77777777" w:rsidTr="0075613D">
        <w:trPr>
          <w:trHeight w:val="360"/>
        </w:trPr>
        <w:tc>
          <w:tcPr>
            <w:tcW w:w="1108" w:type="dxa"/>
            <w:shd w:val="clear" w:color="auto" w:fill="auto"/>
            <w:vAlign w:val="center"/>
            <w:hideMark/>
          </w:tcPr>
          <w:p w14:paraId="72E2B00F"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161  45</w:t>
            </w:r>
          </w:p>
        </w:tc>
        <w:tc>
          <w:tcPr>
            <w:tcW w:w="5843" w:type="dxa"/>
            <w:shd w:val="clear" w:color="auto" w:fill="auto"/>
            <w:vAlign w:val="center"/>
            <w:hideMark/>
          </w:tcPr>
          <w:p w14:paraId="7D891AAB"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s osnove poreza na tvrtku ili naziv</w:t>
            </w:r>
          </w:p>
        </w:tc>
        <w:tc>
          <w:tcPr>
            <w:tcW w:w="1559" w:type="dxa"/>
            <w:shd w:val="clear" w:color="auto" w:fill="auto"/>
            <w:vAlign w:val="center"/>
            <w:hideMark/>
          </w:tcPr>
          <w:p w14:paraId="0FD10FA1"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695,03</w:t>
            </w:r>
          </w:p>
        </w:tc>
      </w:tr>
      <w:tr w:rsidR="0075613D" w:rsidRPr="00CB4B01" w14:paraId="0C219A16" w14:textId="77777777" w:rsidTr="0075613D">
        <w:trPr>
          <w:trHeight w:val="360"/>
        </w:trPr>
        <w:tc>
          <w:tcPr>
            <w:tcW w:w="1108" w:type="dxa"/>
            <w:shd w:val="clear" w:color="000000" w:fill="DCE6F1"/>
            <w:vAlign w:val="center"/>
            <w:hideMark/>
          </w:tcPr>
          <w:p w14:paraId="718791CF" w14:textId="77777777" w:rsidR="0075613D" w:rsidRPr="00A211B6" w:rsidRDefault="0075613D" w:rsidP="0075613D">
            <w:pPr>
              <w:jc w:val="center"/>
              <w:rPr>
                <w:rFonts w:ascii="Aptos" w:hAnsi="Aptos" w:cs="Arial"/>
                <w:b/>
                <w:bCs/>
                <w:i/>
                <w:iCs/>
                <w:sz w:val="18"/>
                <w:szCs w:val="18"/>
              </w:rPr>
            </w:pPr>
            <w:r w:rsidRPr="00A211B6">
              <w:rPr>
                <w:rFonts w:ascii="Aptos" w:hAnsi="Aptos" w:cs="Arial"/>
                <w:b/>
                <w:bCs/>
                <w:i/>
                <w:iCs/>
                <w:sz w:val="18"/>
                <w:szCs w:val="18"/>
              </w:rPr>
              <w:t>161</w:t>
            </w:r>
          </w:p>
        </w:tc>
        <w:tc>
          <w:tcPr>
            <w:tcW w:w="5843" w:type="dxa"/>
            <w:shd w:val="clear" w:color="000000" w:fill="DCE6F1"/>
            <w:vAlign w:val="center"/>
            <w:hideMark/>
          </w:tcPr>
          <w:p w14:paraId="78F1B060" w14:textId="77777777" w:rsidR="0075613D" w:rsidRPr="00A211B6" w:rsidRDefault="0075613D" w:rsidP="0075613D">
            <w:pPr>
              <w:rPr>
                <w:rFonts w:ascii="Aptos" w:hAnsi="Aptos" w:cs="Arial"/>
                <w:b/>
                <w:bCs/>
                <w:i/>
                <w:iCs/>
                <w:sz w:val="18"/>
                <w:szCs w:val="18"/>
              </w:rPr>
            </w:pPr>
            <w:r w:rsidRPr="00A211B6">
              <w:rPr>
                <w:rFonts w:ascii="Aptos" w:hAnsi="Aptos" w:cs="Arial"/>
                <w:b/>
                <w:bCs/>
                <w:i/>
                <w:iCs/>
                <w:sz w:val="18"/>
                <w:szCs w:val="18"/>
              </w:rPr>
              <w:t>Potraživanja za poreze</w:t>
            </w:r>
          </w:p>
        </w:tc>
        <w:tc>
          <w:tcPr>
            <w:tcW w:w="1559" w:type="dxa"/>
            <w:shd w:val="clear" w:color="000000" w:fill="DCE6F1"/>
            <w:vAlign w:val="center"/>
            <w:hideMark/>
          </w:tcPr>
          <w:p w14:paraId="6B084E94" w14:textId="77777777" w:rsidR="0075613D" w:rsidRPr="00A211B6" w:rsidRDefault="0075613D" w:rsidP="0075613D">
            <w:pPr>
              <w:jc w:val="right"/>
              <w:rPr>
                <w:rFonts w:ascii="Aptos" w:hAnsi="Aptos" w:cs="Arial"/>
                <w:b/>
                <w:bCs/>
                <w:i/>
                <w:iCs/>
                <w:sz w:val="18"/>
                <w:szCs w:val="18"/>
              </w:rPr>
            </w:pPr>
            <w:r w:rsidRPr="00A211B6">
              <w:rPr>
                <w:rFonts w:ascii="Aptos" w:hAnsi="Aptos" w:cs="Arial"/>
                <w:b/>
                <w:bCs/>
                <w:i/>
                <w:iCs/>
                <w:sz w:val="18"/>
                <w:szCs w:val="18"/>
              </w:rPr>
              <w:t>99.191,27</w:t>
            </w:r>
          </w:p>
        </w:tc>
      </w:tr>
      <w:tr w:rsidR="0075613D" w:rsidRPr="00CB4B01" w14:paraId="1F3830EB" w14:textId="77777777" w:rsidTr="0075613D">
        <w:trPr>
          <w:trHeight w:val="360"/>
        </w:trPr>
        <w:tc>
          <w:tcPr>
            <w:tcW w:w="1108" w:type="dxa"/>
            <w:shd w:val="clear" w:color="auto" w:fill="auto"/>
            <w:vAlign w:val="center"/>
            <w:hideMark/>
          </w:tcPr>
          <w:p w14:paraId="0020F897"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164  21</w:t>
            </w:r>
          </w:p>
        </w:tc>
        <w:tc>
          <w:tcPr>
            <w:tcW w:w="5843" w:type="dxa"/>
            <w:shd w:val="clear" w:color="auto" w:fill="auto"/>
            <w:vAlign w:val="center"/>
            <w:hideMark/>
          </w:tcPr>
          <w:p w14:paraId="0BED6DFC"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dane koncesije</w:t>
            </w:r>
          </w:p>
        </w:tc>
        <w:tc>
          <w:tcPr>
            <w:tcW w:w="1559" w:type="dxa"/>
            <w:shd w:val="clear" w:color="auto" w:fill="auto"/>
            <w:vAlign w:val="center"/>
            <w:hideMark/>
          </w:tcPr>
          <w:p w14:paraId="2EA107B5"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29,70</w:t>
            </w:r>
          </w:p>
        </w:tc>
      </w:tr>
      <w:tr w:rsidR="0075613D" w:rsidRPr="00CB4B01" w14:paraId="0177EE7E" w14:textId="77777777" w:rsidTr="0075613D">
        <w:trPr>
          <w:trHeight w:val="360"/>
        </w:trPr>
        <w:tc>
          <w:tcPr>
            <w:tcW w:w="1108" w:type="dxa"/>
            <w:shd w:val="clear" w:color="auto" w:fill="auto"/>
            <w:vAlign w:val="center"/>
            <w:hideMark/>
          </w:tcPr>
          <w:p w14:paraId="49B96F14"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164  21</w:t>
            </w:r>
          </w:p>
        </w:tc>
        <w:tc>
          <w:tcPr>
            <w:tcW w:w="5843" w:type="dxa"/>
            <w:shd w:val="clear" w:color="auto" w:fill="auto"/>
            <w:vAlign w:val="center"/>
            <w:hideMark/>
          </w:tcPr>
          <w:p w14:paraId="69E72595"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koncesijska odobrenja</w:t>
            </w:r>
          </w:p>
        </w:tc>
        <w:tc>
          <w:tcPr>
            <w:tcW w:w="1559" w:type="dxa"/>
            <w:shd w:val="clear" w:color="auto" w:fill="auto"/>
            <w:vAlign w:val="center"/>
            <w:hideMark/>
          </w:tcPr>
          <w:p w14:paraId="6399C4BB"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0,00</w:t>
            </w:r>
          </w:p>
        </w:tc>
      </w:tr>
      <w:tr w:rsidR="0075613D" w:rsidRPr="00CB4B01" w14:paraId="2D174E0C" w14:textId="77777777" w:rsidTr="0075613D">
        <w:trPr>
          <w:trHeight w:val="360"/>
        </w:trPr>
        <w:tc>
          <w:tcPr>
            <w:tcW w:w="1108" w:type="dxa"/>
            <w:shd w:val="clear" w:color="auto" w:fill="auto"/>
            <w:vAlign w:val="center"/>
            <w:hideMark/>
          </w:tcPr>
          <w:p w14:paraId="7104FCA3"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164  22</w:t>
            </w:r>
          </w:p>
        </w:tc>
        <w:tc>
          <w:tcPr>
            <w:tcW w:w="5843" w:type="dxa"/>
            <w:shd w:val="clear" w:color="auto" w:fill="auto"/>
            <w:vAlign w:val="center"/>
            <w:hideMark/>
          </w:tcPr>
          <w:p w14:paraId="675CE124" w14:textId="77777777" w:rsidR="0075613D" w:rsidRPr="00A211B6" w:rsidRDefault="0075613D" w:rsidP="0075613D">
            <w:pPr>
              <w:rPr>
                <w:rFonts w:ascii="Aptos" w:hAnsi="Aptos" w:cs="Arial"/>
                <w:sz w:val="18"/>
                <w:szCs w:val="18"/>
              </w:rPr>
            </w:pPr>
            <w:r w:rsidRPr="00A211B6">
              <w:rPr>
                <w:rFonts w:ascii="Aptos" w:hAnsi="Aptos" w:cs="Arial"/>
                <w:sz w:val="18"/>
                <w:szCs w:val="18"/>
              </w:rPr>
              <w:t xml:space="preserve">Potraživanja od zakupa imovine </w:t>
            </w:r>
          </w:p>
        </w:tc>
        <w:tc>
          <w:tcPr>
            <w:tcW w:w="1559" w:type="dxa"/>
            <w:shd w:val="clear" w:color="auto" w:fill="auto"/>
            <w:vAlign w:val="center"/>
            <w:hideMark/>
          </w:tcPr>
          <w:p w14:paraId="7136050E"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102.981,63</w:t>
            </w:r>
          </w:p>
        </w:tc>
      </w:tr>
      <w:tr w:rsidR="0075613D" w:rsidRPr="00CB4B01" w14:paraId="185A2F32" w14:textId="77777777" w:rsidTr="0075613D">
        <w:trPr>
          <w:trHeight w:val="360"/>
        </w:trPr>
        <w:tc>
          <w:tcPr>
            <w:tcW w:w="1108" w:type="dxa"/>
            <w:shd w:val="clear" w:color="auto" w:fill="auto"/>
            <w:vAlign w:val="center"/>
            <w:hideMark/>
          </w:tcPr>
          <w:p w14:paraId="7219F7ED"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164  22</w:t>
            </w:r>
          </w:p>
        </w:tc>
        <w:tc>
          <w:tcPr>
            <w:tcW w:w="5843" w:type="dxa"/>
            <w:shd w:val="clear" w:color="auto" w:fill="auto"/>
            <w:vAlign w:val="center"/>
            <w:hideMark/>
          </w:tcPr>
          <w:p w14:paraId="69492992"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od stanarina</w:t>
            </w:r>
          </w:p>
        </w:tc>
        <w:tc>
          <w:tcPr>
            <w:tcW w:w="1559" w:type="dxa"/>
            <w:shd w:val="clear" w:color="auto" w:fill="auto"/>
            <w:vAlign w:val="center"/>
            <w:hideMark/>
          </w:tcPr>
          <w:p w14:paraId="36CCA43A"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2.658,64</w:t>
            </w:r>
          </w:p>
        </w:tc>
      </w:tr>
      <w:tr w:rsidR="0075613D" w:rsidRPr="00CB4B01" w14:paraId="791CE766" w14:textId="77777777" w:rsidTr="0075613D">
        <w:trPr>
          <w:trHeight w:val="360"/>
        </w:trPr>
        <w:tc>
          <w:tcPr>
            <w:tcW w:w="1108" w:type="dxa"/>
            <w:shd w:val="clear" w:color="auto" w:fill="auto"/>
            <w:vAlign w:val="center"/>
            <w:hideMark/>
          </w:tcPr>
          <w:p w14:paraId="56D14EC1"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164  23</w:t>
            </w:r>
          </w:p>
        </w:tc>
        <w:tc>
          <w:tcPr>
            <w:tcW w:w="5843" w:type="dxa"/>
            <w:shd w:val="clear" w:color="auto" w:fill="auto"/>
            <w:vAlign w:val="center"/>
            <w:hideMark/>
          </w:tcPr>
          <w:p w14:paraId="36C727CB"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od spomeničke rente 100%</w:t>
            </w:r>
          </w:p>
        </w:tc>
        <w:tc>
          <w:tcPr>
            <w:tcW w:w="1559" w:type="dxa"/>
            <w:shd w:val="clear" w:color="auto" w:fill="auto"/>
            <w:vAlign w:val="center"/>
            <w:hideMark/>
          </w:tcPr>
          <w:p w14:paraId="114E5CE2"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343,04</w:t>
            </w:r>
          </w:p>
        </w:tc>
      </w:tr>
      <w:tr w:rsidR="0075613D" w:rsidRPr="00CB4B01" w14:paraId="314F5D23" w14:textId="77777777" w:rsidTr="0075613D">
        <w:trPr>
          <w:trHeight w:val="360"/>
        </w:trPr>
        <w:tc>
          <w:tcPr>
            <w:tcW w:w="1108" w:type="dxa"/>
            <w:shd w:val="clear" w:color="000000" w:fill="DCE6F1"/>
            <w:vAlign w:val="center"/>
            <w:hideMark/>
          </w:tcPr>
          <w:p w14:paraId="64E63933" w14:textId="77777777" w:rsidR="0075613D" w:rsidRPr="00A211B6" w:rsidRDefault="0075613D" w:rsidP="0075613D">
            <w:pPr>
              <w:jc w:val="center"/>
              <w:rPr>
                <w:rFonts w:ascii="Aptos" w:hAnsi="Aptos" w:cs="Arial"/>
                <w:b/>
                <w:bCs/>
                <w:i/>
                <w:iCs/>
                <w:sz w:val="18"/>
                <w:szCs w:val="18"/>
              </w:rPr>
            </w:pPr>
            <w:r w:rsidRPr="00A211B6">
              <w:rPr>
                <w:rFonts w:ascii="Aptos" w:hAnsi="Aptos" w:cs="Arial"/>
                <w:b/>
                <w:bCs/>
                <w:i/>
                <w:iCs/>
                <w:sz w:val="18"/>
                <w:szCs w:val="18"/>
              </w:rPr>
              <w:t>164</w:t>
            </w:r>
          </w:p>
        </w:tc>
        <w:tc>
          <w:tcPr>
            <w:tcW w:w="5843" w:type="dxa"/>
            <w:shd w:val="clear" w:color="000000" w:fill="DCE6F1"/>
            <w:vAlign w:val="center"/>
            <w:hideMark/>
          </w:tcPr>
          <w:p w14:paraId="6F2D512F" w14:textId="77777777" w:rsidR="0075613D" w:rsidRPr="00A211B6" w:rsidRDefault="0075613D" w:rsidP="0075613D">
            <w:pPr>
              <w:rPr>
                <w:rFonts w:ascii="Aptos" w:hAnsi="Aptos" w:cs="Arial"/>
                <w:b/>
                <w:bCs/>
                <w:i/>
                <w:iCs/>
                <w:sz w:val="18"/>
                <w:szCs w:val="18"/>
              </w:rPr>
            </w:pPr>
            <w:r w:rsidRPr="00A211B6">
              <w:rPr>
                <w:rFonts w:ascii="Aptos" w:hAnsi="Aptos" w:cs="Arial"/>
                <w:b/>
                <w:bCs/>
                <w:i/>
                <w:iCs/>
                <w:sz w:val="18"/>
                <w:szCs w:val="18"/>
              </w:rPr>
              <w:t>Potraživanje za prihode od imovine</w:t>
            </w:r>
          </w:p>
        </w:tc>
        <w:tc>
          <w:tcPr>
            <w:tcW w:w="1559" w:type="dxa"/>
            <w:shd w:val="clear" w:color="000000" w:fill="DCE6F1"/>
            <w:vAlign w:val="center"/>
            <w:hideMark/>
          </w:tcPr>
          <w:p w14:paraId="38907B59" w14:textId="77777777" w:rsidR="0075613D" w:rsidRPr="00A211B6" w:rsidRDefault="0075613D" w:rsidP="0075613D">
            <w:pPr>
              <w:jc w:val="right"/>
              <w:rPr>
                <w:rFonts w:ascii="Aptos" w:hAnsi="Aptos" w:cs="Arial"/>
                <w:b/>
                <w:bCs/>
                <w:i/>
                <w:iCs/>
                <w:sz w:val="18"/>
                <w:szCs w:val="18"/>
              </w:rPr>
            </w:pPr>
            <w:r w:rsidRPr="00A211B6">
              <w:rPr>
                <w:rFonts w:ascii="Aptos" w:hAnsi="Aptos" w:cs="Arial"/>
                <w:b/>
                <w:bCs/>
                <w:i/>
                <w:iCs/>
                <w:sz w:val="18"/>
                <w:szCs w:val="18"/>
              </w:rPr>
              <w:t>106.013,01</w:t>
            </w:r>
          </w:p>
        </w:tc>
      </w:tr>
      <w:tr w:rsidR="0075613D" w:rsidRPr="00CB4B01" w14:paraId="1AEAA614" w14:textId="77777777" w:rsidTr="0075613D">
        <w:trPr>
          <w:trHeight w:val="360"/>
        </w:trPr>
        <w:tc>
          <w:tcPr>
            <w:tcW w:w="1108" w:type="dxa"/>
            <w:shd w:val="clear" w:color="auto" w:fill="auto"/>
            <w:vAlign w:val="center"/>
            <w:hideMark/>
          </w:tcPr>
          <w:p w14:paraId="4CB4E54D"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165  12</w:t>
            </w:r>
          </w:p>
        </w:tc>
        <w:tc>
          <w:tcPr>
            <w:tcW w:w="5843" w:type="dxa"/>
            <w:shd w:val="clear" w:color="auto" w:fill="auto"/>
            <w:vAlign w:val="center"/>
            <w:hideMark/>
          </w:tcPr>
          <w:p w14:paraId="52CD8FCA"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naknade za zauzeće javne površine</w:t>
            </w:r>
          </w:p>
        </w:tc>
        <w:tc>
          <w:tcPr>
            <w:tcW w:w="1559" w:type="dxa"/>
            <w:shd w:val="clear" w:color="auto" w:fill="auto"/>
            <w:vAlign w:val="center"/>
            <w:hideMark/>
          </w:tcPr>
          <w:p w14:paraId="331229E6"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0,00</w:t>
            </w:r>
          </w:p>
        </w:tc>
      </w:tr>
      <w:tr w:rsidR="0075613D" w:rsidRPr="00CB4B01" w14:paraId="02E4C24A" w14:textId="77777777" w:rsidTr="0075613D">
        <w:trPr>
          <w:trHeight w:val="360"/>
        </w:trPr>
        <w:tc>
          <w:tcPr>
            <w:tcW w:w="1108" w:type="dxa"/>
            <w:shd w:val="clear" w:color="auto" w:fill="auto"/>
            <w:vAlign w:val="center"/>
            <w:hideMark/>
          </w:tcPr>
          <w:p w14:paraId="36F21ECA"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165  22</w:t>
            </w:r>
          </w:p>
        </w:tc>
        <w:tc>
          <w:tcPr>
            <w:tcW w:w="5843" w:type="dxa"/>
            <w:shd w:val="clear" w:color="auto" w:fill="auto"/>
            <w:vAlign w:val="center"/>
            <w:hideMark/>
          </w:tcPr>
          <w:p w14:paraId="0193F6D7" w14:textId="77777777" w:rsidR="0075613D" w:rsidRPr="00A211B6" w:rsidRDefault="0075613D" w:rsidP="0075613D">
            <w:pPr>
              <w:rPr>
                <w:rFonts w:ascii="Aptos" w:hAnsi="Aptos" w:cs="Arial"/>
                <w:sz w:val="18"/>
                <w:szCs w:val="18"/>
              </w:rPr>
            </w:pPr>
            <w:r w:rsidRPr="00A211B6">
              <w:rPr>
                <w:rFonts w:ascii="Aptos" w:hAnsi="Aptos" w:cs="Arial"/>
                <w:sz w:val="18"/>
                <w:szCs w:val="18"/>
              </w:rPr>
              <w:t>Prihodi vodnog gospodarstva</w:t>
            </w:r>
          </w:p>
        </w:tc>
        <w:tc>
          <w:tcPr>
            <w:tcW w:w="1559" w:type="dxa"/>
            <w:shd w:val="clear" w:color="auto" w:fill="auto"/>
            <w:vAlign w:val="center"/>
            <w:hideMark/>
          </w:tcPr>
          <w:p w14:paraId="24714636"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0,00</w:t>
            </w:r>
          </w:p>
        </w:tc>
      </w:tr>
      <w:tr w:rsidR="0075613D" w:rsidRPr="00CB4B01" w14:paraId="6A6F76B9" w14:textId="77777777" w:rsidTr="0075613D">
        <w:trPr>
          <w:trHeight w:val="360"/>
        </w:trPr>
        <w:tc>
          <w:tcPr>
            <w:tcW w:w="1108" w:type="dxa"/>
            <w:shd w:val="clear" w:color="auto" w:fill="auto"/>
            <w:vAlign w:val="center"/>
            <w:hideMark/>
          </w:tcPr>
          <w:p w14:paraId="1CFE3689"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165 22</w:t>
            </w:r>
          </w:p>
        </w:tc>
        <w:tc>
          <w:tcPr>
            <w:tcW w:w="5843" w:type="dxa"/>
            <w:shd w:val="clear" w:color="auto" w:fill="auto"/>
            <w:vAlign w:val="center"/>
            <w:hideMark/>
          </w:tcPr>
          <w:p w14:paraId="5F7EF6F5" w14:textId="77777777" w:rsidR="0075613D" w:rsidRPr="00A211B6" w:rsidRDefault="0075613D" w:rsidP="0075613D">
            <w:pPr>
              <w:rPr>
                <w:rFonts w:ascii="Aptos" w:hAnsi="Aptos" w:cs="Arial"/>
                <w:sz w:val="18"/>
                <w:szCs w:val="18"/>
              </w:rPr>
            </w:pPr>
            <w:r w:rsidRPr="00A211B6">
              <w:rPr>
                <w:rFonts w:ascii="Aptos" w:hAnsi="Aptos" w:cs="Arial"/>
                <w:sz w:val="18"/>
                <w:szCs w:val="18"/>
              </w:rPr>
              <w:t>Naknada za uređenje Hrvatske vode</w:t>
            </w:r>
          </w:p>
        </w:tc>
        <w:tc>
          <w:tcPr>
            <w:tcW w:w="1559" w:type="dxa"/>
            <w:shd w:val="clear" w:color="auto" w:fill="auto"/>
            <w:vAlign w:val="center"/>
            <w:hideMark/>
          </w:tcPr>
          <w:p w14:paraId="24D4EB49"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118.269,96</w:t>
            </w:r>
          </w:p>
        </w:tc>
      </w:tr>
      <w:tr w:rsidR="0075613D" w:rsidRPr="00CB4B01" w14:paraId="2E297734" w14:textId="77777777" w:rsidTr="0075613D">
        <w:trPr>
          <w:trHeight w:val="360"/>
        </w:trPr>
        <w:tc>
          <w:tcPr>
            <w:tcW w:w="1108" w:type="dxa"/>
            <w:shd w:val="clear" w:color="auto" w:fill="auto"/>
            <w:vAlign w:val="center"/>
            <w:hideMark/>
          </w:tcPr>
          <w:p w14:paraId="512A8F3E"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165  24</w:t>
            </w:r>
          </w:p>
        </w:tc>
        <w:tc>
          <w:tcPr>
            <w:tcW w:w="5843" w:type="dxa"/>
            <w:shd w:val="clear" w:color="auto" w:fill="auto"/>
            <w:vAlign w:val="center"/>
            <w:hideMark/>
          </w:tcPr>
          <w:p w14:paraId="68C616E9"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šumski doprinos</w:t>
            </w:r>
          </w:p>
        </w:tc>
        <w:tc>
          <w:tcPr>
            <w:tcW w:w="1559" w:type="dxa"/>
            <w:shd w:val="clear" w:color="auto" w:fill="auto"/>
            <w:vAlign w:val="center"/>
            <w:hideMark/>
          </w:tcPr>
          <w:p w14:paraId="1269DD3C"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0,00</w:t>
            </w:r>
          </w:p>
        </w:tc>
      </w:tr>
      <w:tr w:rsidR="0075613D" w:rsidRPr="00CB4B01" w14:paraId="3B01B960" w14:textId="77777777" w:rsidTr="0075613D">
        <w:trPr>
          <w:trHeight w:val="360"/>
        </w:trPr>
        <w:tc>
          <w:tcPr>
            <w:tcW w:w="1108" w:type="dxa"/>
            <w:shd w:val="clear" w:color="auto" w:fill="auto"/>
            <w:vAlign w:val="center"/>
            <w:hideMark/>
          </w:tcPr>
          <w:p w14:paraId="07CEC06A"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lastRenderedPageBreak/>
              <w:t>165  26</w:t>
            </w:r>
          </w:p>
        </w:tc>
        <w:tc>
          <w:tcPr>
            <w:tcW w:w="5843" w:type="dxa"/>
            <w:shd w:val="clear" w:color="auto" w:fill="auto"/>
            <w:vAlign w:val="center"/>
            <w:hideMark/>
          </w:tcPr>
          <w:p w14:paraId="21B867AB"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refundacije troškova</w:t>
            </w:r>
          </w:p>
        </w:tc>
        <w:tc>
          <w:tcPr>
            <w:tcW w:w="1559" w:type="dxa"/>
            <w:shd w:val="clear" w:color="auto" w:fill="auto"/>
            <w:vAlign w:val="center"/>
            <w:hideMark/>
          </w:tcPr>
          <w:p w14:paraId="3A6DD7B3"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27.141,20</w:t>
            </w:r>
          </w:p>
        </w:tc>
      </w:tr>
      <w:tr w:rsidR="0075613D" w:rsidRPr="00CB4B01" w14:paraId="09C55033" w14:textId="77777777" w:rsidTr="0075613D">
        <w:trPr>
          <w:trHeight w:val="360"/>
        </w:trPr>
        <w:tc>
          <w:tcPr>
            <w:tcW w:w="1108" w:type="dxa"/>
            <w:shd w:val="clear" w:color="auto" w:fill="auto"/>
            <w:vAlign w:val="center"/>
            <w:hideMark/>
          </w:tcPr>
          <w:p w14:paraId="4C317084"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165 26</w:t>
            </w:r>
          </w:p>
        </w:tc>
        <w:tc>
          <w:tcPr>
            <w:tcW w:w="5843" w:type="dxa"/>
            <w:shd w:val="clear" w:color="auto" w:fill="auto"/>
            <w:vAlign w:val="center"/>
            <w:hideMark/>
          </w:tcPr>
          <w:p w14:paraId="1FB64D39"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ostale prihode</w:t>
            </w:r>
          </w:p>
        </w:tc>
        <w:tc>
          <w:tcPr>
            <w:tcW w:w="1559" w:type="dxa"/>
            <w:shd w:val="clear" w:color="auto" w:fill="auto"/>
            <w:vAlign w:val="center"/>
            <w:hideMark/>
          </w:tcPr>
          <w:p w14:paraId="2FBD524F"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3.036,12</w:t>
            </w:r>
          </w:p>
        </w:tc>
      </w:tr>
      <w:tr w:rsidR="0075613D" w:rsidRPr="00CB4B01" w14:paraId="5971052F" w14:textId="77777777" w:rsidTr="0075613D">
        <w:trPr>
          <w:trHeight w:val="360"/>
        </w:trPr>
        <w:tc>
          <w:tcPr>
            <w:tcW w:w="1108" w:type="dxa"/>
            <w:shd w:val="clear" w:color="auto" w:fill="auto"/>
            <w:vAlign w:val="center"/>
            <w:hideMark/>
          </w:tcPr>
          <w:p w14:paraId="71A270EB"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165  26</w:t>
            </w:r>
          </w:p>
        </w:tc>
        <w:tc>
          <w:tcPr>
            <w:tcW w:w="5843" w:type="dxa"/>
            <w:shd w:val="clear" w:color="auto" w:fill="auto"/>
            <w:vAlign w:val="center"/>
            <w:hideMark/>
          </w:tcPr>
          <w:p w14:paraId="7FD2D0A4"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za naknadu za legalizaciju 100%</w:t>
            </w:r>
          </w:p>
        </w:tc>
        <w:tc>
          <w:tcPr>
            <w:tcW w:w="1559" w:type="dxa"/>
            <w:shd w:val="clear" w:color="auto" w:fill="auto"/>
            <w:vAlign w:val="center"/>
            <w:hideMark/>
          </w:tcPr>
          <w:p w14:paraId="559B2BB9"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66,36</w:t>
            </w:r>
          </w:p>
        </w:tc>
      </w:tr>
      <w:tr w:rsidR="0075613D" w:rsidRPr="00CB4B01" w14:paraId="3B472ED1" w14:textId="77777777" w:rsidTr="0075613D">
        <w:trPr>
          <w:trHeight w:val="360"/>
        </w:trPr>
        <w:tc>
          <w:tcPr>
            <w:tcW w:w="1108" w:type="dxa"/>
            <w:shd w:val="clear" w:color="auto" w:fill="auto"/>
            <w:vAlign w:val="center"/>
            <w:hideMark/>
          </w:tcPr>
          <w:p w14:paraId="5FE0CDE3"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165 31</w:t>
            </w:r>
          </w:p>
        </w:tc>
        <w:tc>
          <w:tcPr>
            <w:tcW w:w="5843" w:type="dxa"/>
            <w:shd w:val="clear" w:color="auto" w:fill="auto"/>
            <w:vAlign w:val="center"/>
            <w:hideMark/>
          </w:tcPr>
          <w:p w14:paraId="4E477A4B"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od komunalnog doprinosa</w:t>
            </w:r>
          </w:p>
        </w:tc>
        <w:tc>
          <w:tcPr>
            <w:tcW w:w="1559" w:type="dxa"/>
            <w:shd w:val="clear" w:color="auto" w:fill="auto"/>
            <w:vAlign w:val="center"/>
            <w:hideMark/>
          </w:tcPr>
          <w:p w14:paraId="272B809D"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445.794,45</w:t>
            </w:r>
          </w:p>
        </w:tc>
      </w:tr>
      <w:tr w:rsidR="0075613D" w:rsidRPr="00CB4B01" w14:paraId="1827B011" w14:textId="77777777" w:rsidTr="0075613D">
        <w:trPr>
          <w:trHeight w:val="360"/>
        </w:trPr>
        <w:tc>
          <w:tcPr>
            <w:tcW w:w="1108" w:type="dxa"/>
            <w:shd w:val="clear" w:color="auto" w:fill="auto"/>
            <w:vAlign w:val="center"/>
            <w:hideMark/>
          </w:tcPr>
          <w:p w14:paraId="34DBD8B3"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165 32</w:t>
            </w:r>
          </w:p>
        </w:tc>
        <w:tc>
          <w:tcPr>
            <w:tcW w:w="5843" w:type="dxa"/>
            <w:shd w:val="clear" w:color="auto" w:fill="auto"/>
            <w:vAlign w:val="center"/>
            <w:hideMark/>
          </w:tcPr>
          <w:p w14:paraId="71151D85" w14:textId="77777777" w:rsidR="0075613D" w:rsidRPr="00A211B6" w:rsidRDefault="0075613D" w:rsidP="0075613D">
            <w:pPr>
              <w:rPr>
                <w:rFonts w:ascii="Aptos" w:hAnsi="Aptos" w:cs="Arial"/>
                <w:sz w:val="18"/>
                <w:szCs w:val="18"/>
              </w:rPr>
            </w:pPr>
            <w:r w:rsidRPr="00A211B6">
              <w:rPr>
                <w:rFonts w:ascii="Aptos" w:hAnsi="Aptos" w:cs="Arial"/>
                <w:sz w:val="18"/>
                <w:szCs w:val="18"/>
              </w:rPr>
              <w:t>Potraživanja od komunalne naknade</w:t>
            </w:r>
          </w:p>
        </w:tc>
        <w:tc>
          <w:tcPr>
            <w:tcW w:w="1559" w:type="dxa"/>
            <w:shd w:val="clear" w:color="auto" w:fill="auto"/>
            <w:vAlign w:val="center"/>
            <w:hideMark/>
          </w:tcPr>
          <w:p w14:paraId="521A76FE"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650.114,46</w:t>
            </w:r>
          </w:p>
        </w:tc>
      </w:tr>
      <w:tr w:rsidR="0075613D" w:rsidRPr="00CB4B01" w14:paraId="43104BDB" w14:textId="77777777" w:rsidTr="0075613D">
        <w:trPr>
          <w:trHeight w:val="360"/>
        </w:trPr>
        <w:tc>
          <w:tcPr>
            <w:tcW w:w="1108" w:type="dxa"/>
            <w:shd w:val="clear" w:color="000000" w:fill="DCE6F1"/>
            <w:vAlign w:val="center"/>
            <w:hideMark/>
          </w:tcPr>
          <w:p w14:paraId="459A47C7" w14:textId="77777777" w:rsidR="0075613D" w:rsidRPr="00A211B6" w:rsidRDefault="0075613D" w:rsidP="0075613D">
            <w:pPr>
              <w:jc w:val="center"/>
              <w:rPr>
                <w:rFonts w:ascii="Aptos" w:hAnsi="Aptos" w:cs="Arial"/>
                <w:b/>
                <w:bCs/>
                <w:i/>
                <w:iCs/>
                <w:sz w:val="18"/>
                <w:szCs w:val="18"/>
              </w:rPr>
            </w:pPr>
            <w:r w:rsidRPr="00A211B6">
              <w:rPr>
                <w:rFonts w:ascii="Aptos" w:hAnsi="Aptos" w:cs="Arial"/>
                <w:b/>
                <w:bCs/>
                <w:i/>
                <w:iCs/>
                <w:sz w:val="18"/>
                <w:szCs w:val="18"/>
              </w:rPr>
              <w:t>165</w:t>
            </w:r>
          </w:p>
        </w:tc>
        <w:tc>
          <w:tcPr>
            <w:tcW w:w="5843" w:type="dxa"/>
            <w:shd w:val="clear" w:color="000000" w:fill="DCE6F1"/>
            <w:vAlign w:val="center"/>
            <w:hideMark/>
          </w:tcPr>
          <w:p w14:paraId="4AC081B2" w14:textId="77777777" w:rsidR="0075613D" w:rsidRPr="00A211B6" w:rsidRDefault="0075613D" w:rsidP="0075613D">
            <w:pPr>
              <w:rPr>
                <w:rFonts w:ascii="Aptos" w:hAnsi="Aptos" w:cs="Arial"/>
                <w:b/>
                <w:bCs/>
                <w:i/>
                <w:iCs/>
                <w:sz w:val="18"/>
                <w:szCs w:val="18"/>
              </w:rPr>
            </w:pPr>
            <w:r w:rsidRPr="00A211B6">
              <w:rPr>
                <w:rFonts w:ascii="Aptos" w:hAnsi="Aptos" w:cs="Arial"/>
                <w:b/>
                <w:bCs/>
                <w:i/>
                <w:iCs/>
                <w:sz w:val="18"/>
                <w:szCs w:val="18"/>
              </w:rPr>
              <w:t>Potraživanje za upravne pristojbe i naknade</w:t>
            </w:r>
          </w:p>
        </w:tc>
        <w:tc>
          <w:tcPr>
            <w:tcW w:w="1559" w:type="dxa"/>
            <w:shd w:val="clear" w:color="000000" w:fill="DCE6F1"/>
            <w:vAlign w:val="center"/>
            <w:hideMark/>
          </w:tcPr>
          <w:p w14:paraId="563C72CA" w14:textId="77777777" w:rsidR="0075613D" w:rsidRPr="00A211B6" w:rsidRDefault="0075613D" w:rsidP="0075613D">
            <w:pPr>
              <w:jc w:val="right"/>
              <w:rPr>
                <w:rFonts w:ascii="Aptos" w:hAnsi="Aptos" w:cs="Arial"/>
                <w:b/>
                <w:bCs/>
                <w:i/>
                <w:iCs/>
                <w:sz w:val="18"/>
                <w:szCs w:val="18"/>
              </w:rPr>
            </w:pPr>
            <w:r w:rsidRPr="00A211B6">
              <w:rPr>
                <w:rFonts w:ascii="Aptos" w:hAnsi="Aptos" w:cs="Arial"/>
                <w:b/>
                <w:bCs/>
                <w:i/>
                <w:iCs/>
                <w:sz w:val="18"/>
                <w:szCs w:val="18"/>
              </w:rPr>
              <w:t>1.244.422,55</w:t>
            </w:r>
          </w:p>
        </w:tc>
      </w:tr>
      <w:tr w:rsidR="0075613D" w:rsidRPr="00CB4B01" w14:paraId="4996F24D" w14:textId="77777777" w:rsidTr="0075613D">
        <w:trPr>
          <w:trHeight w:val="600"/>
        </w:trPr>
        <w:tc>
          <w:tcPr>
            <w:tcW w:w="1108" w:type="dxa"/>
            <w:shd w:val="clear" w:color="auto" w:fill="auto"/>
            <w:vAlign w:val="center"/>
            <w:hideMark/>
          </w:tcPr>
          <w:p w14:paraId="633ADE7B" w14:textId="77777777" w:rsidR="0075613D" w:rsidRPr="00A211B6" w:rsidRDefault="0075613D" w:rsidP="0075613D">
            <w:pPr>
              <w:jc w:val="center"/>
              <w:rPr>
                <w:rFonts w:ascii="Aptos" w:hAnsi="Aptos" w:cs="Arial"/>
                <w:sz w:val="18"/>
                <w:szCs w:val="18"/>
              </w:rPr>
            </w:pPr>
            <w:r w:rsidRPr="00A211B6">
              <w:rPr>
                <w:rFonts w:ascii="Aptos" w:hAnsi="Aptos" w:cs="Arial"/>
                <w:sz w:val="18"/>
                <w:szCs w:val="18"/>
              </w:rPr>
              <w:t>166 15</w:t>
            </w:r>
          </w:p>
        </w:tc>
        <w:tc>
          <w:tcPr>
            <w:tcW w:w="5843" w:type="dxa"/>
            <w:shd w:val="clear" w:color="auto" w:fill="auto"/>
            <w:vAlign w:val="center"/>
            <w:hideMark/>
          </w:tcPr>
          <w:p w14:paraId="6476114A" w14:textId="1BED3992" w:rsidR="0075613D" w:rsidRPr="00A211B6" w:rsidRDefault="0075613D" w:rsidP="0075613D">
            <w:pPr>
              <w:rPr>
                <w:rFonts w:ascii="Aptos" w:hAnsi="Aptos" w:cs="Arial"/>
                <w:sz w:val="18"/>
                <w:szCs w:val="18"/>
              </w:rPr>
            </w:pPr>
            <w:r w:rsidRPr="00A211B6">
              <w:rPr>
                <w:rFonts w:ascii="Aptos" w:hAnsi="Aptos" w:cs="Arial"/>
                <w:sz w:val="18"/>
                <w:szCs w:val="18"/>
              </w:rPr>
              <w:t>Potraživanja za prihode od pruženih usluga (naknada za naplatu</w:t>
            </w:r>
            <w:r w:rsidRPr="00CB4B01">
              <w:rPr>
                <w:rFonts w:ascii="Aptos" w:hAnsi="Aptos" w:cs="Arial"/>
                <w:sz w:val="18"/>
                <w:szCs w:val="18"/>
              </w:rPr>
              <w:t xml:space="preserve"> </w:t>
            </w:r>
            <w:r w:rsidRPr="00A211B6">
              <w:rPr>
                <w:rFonts w:ascii="Aptos" w:hAnsi="Aptos" w:cs="Arial"/>
                <w:sz w:val="18"/>
                <w:szCs w:val="18"/>
              </w:rPr>
              <w:t>NUV)</w:t>
            </w:r>
          </w:p>
        </w:tc>
        <w:tc>
          <w:tcPr>
            <w:tcW w:w="1559" w:type="dxa"/>
            <w:shd w:val="clear" w:color="auto" w:fill="auto"/>
            <w:vAlign w:val="center"/>
            <w:hideMark/>
          </w:tcPr>
          <w:p w14:paraId="20822059" w14:textId="77777777" w:rsidR="0075613D" w:rsidRPr="00A211B6" w:rsidRDefault="0075613D" w:rsidP="0075613D">
            <w:pPr>
              <w:jc w:val="right"/>
              <w:rPr>
                <w:rFonts w:ascii="Aptos" w:hAnsi="Aptos" w:cs="Arial"/>
                <w:sz w:val="18"/>
                <w:szCs w:val="18"/>
              </w:rPr>
            </w:pPr>
            <w:r w:rsidRPr="00A211B6">
              <w:rPr>
                <w:rFonts w:ascii="Aptos" w:hAnsi="Aptos" w:cs="Arial"/>
                <w:sz w:val="18"/>
                <w:szCs w:val="18"/>
              </w:rPr>
              <w:t>5.636,74</w:t>
            </w:r>
          </w:p>
        </w:tc>
      </w:tr>
      <w:tr w:rsidR="0075613D" w:rsidRPr="00CB4B01" w14:paraId="6C6D58E3" w14:textId="77777777" w:rsidTr="0075613D">
        <w:trPr>
          <w:trHeight w:val="360"/>
        </w:trPr>
        <w:tc>
          <w:tcPr>
            <w:tcW w:w="1108" w:type="dxa"/>
            <w:shd w:val="clear" w:color="000000" w:fill="DCE6F1"/>
            <w:vAlign w:val="center"/>
            <w:hideMark/>
          </w:tcPr>
          <w:p w14:paraId="3EDA4F50" w14:textId="77777777" w:rsidR="0075613D" w:rsidRPr="00A211B6" w:rsidRDefault="0075613D" w:rsidP="0075613D">
            <w:pPr>
              <w:jc w:val="center"/>
              <w:rPr>
                <w:rFonts w:ascii="Aptos" w:hAnsi="Aptos" w:cs="Arial"/>
                <w:b/>
                <w:bCs/>
                <w:i/>
                <w:iCs/>
                <w:sz w:val="18"/>
                <w:szCs w:val="18"/>
              </w:rPr>
            </w:pPr>
            <w:r w:rsidRPr="00A211B6">
              <w:rPr>
                <w:rFonts w:ascii="Aptos" w:hAnsi="Aptos" w:cs="Arial"/>
                <w:b/>
                <w:bCs/>
                <w:i/>
                <w:iCs/>
                <w:sz w:val="18"/>
                <w:szCs w:val="18"/>
              </w:rPr>
              <w:t>166</w:t>
            </w:r>
          </w:p>
        </w:tc>
        <w:tc>
          <w:tcPr>
            <w:tcW w:w="5843" w:type="dxa"/>
            <w:shd w:val="clear" w:color="000000" w:fill="DCE6F1"/>
            <w:vAlign w:val="center"/>
            <w:hideMark/>
          </w:tcPr>
          <w:p w14:paraId="582173A6" w14:textId="77777777" w:rsidR="0075613D" w:rsidRPr="00A211B6" w:rsidRDefault="0075613D" w:rsidP="0075613D">
            <w:pPr>
              <w:rPr>
                <w:rFonts w:ascii="Aptos" w:hAnsi="Aptos" w:cs="Arial"/>
                <w:b/>
                <w:bCs/>
                <w:i/>
                <w:iCs/>
                <w:sz w:val="18"/>
                <w:szCs w:val="18"/>
              </w:rPr>
            </w:pPr>
            <w:r w:rsidRPr="00A211B6">
              <w:rPr>
                <w:rFonts w:ascii="Aptos" w:hAnsi="Aptos" w:cs="Arial"/>
                <w:b/>
                <w:bCs/>
                <w:i/>
                <w:iCs/>
                <w:sz w:val="18"/>
                <w:szCs w:val="18"/>
              </w:rPr>
              <w:t>Potraživanja za prihode od prodaje i pruženih usluga</w:t>
            </w:r>
          </w:p>
        </w:tc>
        <w:tc>
          <w:tcPr>
            <w:tcW w:w="1559" w:type="dxa"/>
            <w:shd w:val="clear" w:color="000000" w:fill="DCE6F1"/>
            <w:vAlign w:val="center"/>
            <w:hideMark/>
          </w:tcPr>
          <w:p w14:paraId="165E7B01" w14:textId="77777777" w:rsidR="0075613D" w:rsidRPr="00A211B6" w:rsidRDefault="0075613D" w:rsidP="0075613D">
            <w:pPr>
              <w:jc w:val="right"/>
              <w:rPr>
                <w:rFonts w:ascii="Aptos" w:hAnsi="Aptos" w:cs="Arial"/>
                <w:b/>
                <w:bCs/>
                <w:i/>
                <w:iCs/>
                <w:sz w:val="18"/>
                <w:szCs w:val="18"/>
              </w:rPr>
            </w:pPr>
            <w:r w:rsidRPr="00A211B6">
              <w:rPr>
                <w:rFonts w:ascii="Aptos" w:hAnsi="Aptos" w:cs="Arial"/>
                <w:b/>
                <w:bCs/>
                <w:i/>
                <w:iCs/>
                <w:sz w:val="18"/>
                <w:szCs w:val="18"/>
              </w:rPr>
              <w:t>5.636,74</w:t>
            </w:r>
          </w:p>
        </w:tc>
      </w:tr>
      <w:tr w:rsidR="0075613D" w:rsidRPr="00CB4B01" w14:paraId="54A42CF8" w14:textId="77777777" w:rsidTr="0075613D">
        <w:trPr>
          <w:trHeight w:val="360"/>
        </w:trPr>
        <w:tc>
          <w:tcPr>
            <w:tcW w:w="1108" w:type="dxa"/>
            <w:shd w:val="clear" w:color="000000" w:fill="C5D9F1"/>
            <w:vAlign w:val="center"/>
            <w:hideMark/>
          </w:tcPr>
          <w:p w14:paraId="39F7F8B2" w14:textId="77777777" w:rsidR="0075613D" w:rsidRPr="00A211B6" w:rsidRDefault="0075613D" w:rsidP="0075613D">
            <w:pPr>
              <w:jc w:val="center"/>
              <w:rPr>
                <w:rFonts w:ascii="Aptos" w:hAnsi="Aptos" w:cs="Arial"/>
                <w:b/>
                <w:bCs/>
                <w:sz w:val="18"/>
                <w:szCs w:val="18"/>
              </w:rPr>
            </w:pPr>
            <w:r w:rsidRPr="00A211B6">
              <w:rPr>
                <w:rFonts w:ascii="Aptos" w:hAnsi="Aptos" w:cs="Arial"/>
                <w:b/>
                <w:bCs/>
                <w:sz w:val="18"/>
                <w:szCs w:val="18"/>
              </w:rPr>
              <w:t>16</w:t>
            </w:r>
          </w:p>
        </w:tc>
        <w:tc>
          <w:tcPr>
            <w:tcW w:w="5843" w:type="dxa"/>
            <w:shd w:val="clear" w:color="000000" w:fill="C5D9F1"/>
            <w:vAlign w:val="center"/>
            <w:hideMark/>
          </w:tcPr>
          <w:p w14:paraId="790CA4CB" w14:textId="77777777" w:rsidR="0075613D" w:rsidRPr="00A211B6" w:rsidRDefault="0075613D" w:rsidP="0075613D">
            <w:pPr>
              <w:rPr>
                <w:rFonts w:ascii="Aptos" w:hAnsi="Aptos" w:cs="Arial"/>
                <w:b/>
                <w:bCs/>
                <w:sz w:val="18"/>
                <w:szCs w:val="18"/>
              </w:rPr>
            </w:pPr>
            <w:r w:rsidRPr="00A211B6">
              <w:rPr>
                <w:rFonts w:ascii="Aptos" w:hAnsi="Aptos" w:cs="Arial"/>
                <w:b/>
                <w:bCs/>
                <w:sz w:val="18"/>
                <w:szCs w:val="18"/>
              </w:rPr>
              <w:t>POTRAŽIVANJA ZA PRIHODE POSLOVANJA</w:t>
            </w:r>
          </w:p>
        </w:tc>
        <w:tc>
          <w:tcPr>
            <w:tcW w:w="1559" w:type="dxa"/>
            <w:shd w:val="clear" w:color="000000" w:fill="C5D9F1"/>
            <w:vAlign w:val="center"/>
            <w:hideMark/>
          </w:tcPr>
          <w:p w14:paraId="751B01AB" w14:textId="77777777" w:rsidR="0075613D" w:rsidRPr="00A211B6" w:rsidRDefault="0075613D" w:rsidP="0075613D">
            <w:pPr>
              <w:jc w:val="right"/>
              <w:rPr>
                <w:rFonts w:ascii="Aptos" w:hAnsi="Aptos" w:cs="Arial"/>
                <w:b/>
                <w:bCs/>
                <w:sz w:val="18"/>
                <w:szCs w:val="18"/>
              </w:rPr>
            </w:pPr>
            <w:r w:rsidRPr="00A211B6">
              <w:rPr>
                <w:rFonts w:ascii="Aptos" w:hAnsi="Aptos" w:cs="Arial"/>
                <w:b/>
                <w:bCs/>
                <w:sz w:val="18"/>
                <w:szCs w:val="18"/>
              </w:rPr>
              <w:t>1.455.263,57</w:t>
            </w:r>
          </w:p>
        </w:tc>
      </w:tr>
      <w:tr w:rsidR="0075613D" w:rsidRPr="00CB4B01" w14:paraId="0247D167" w14:textId="77777777" w:rsidTr="0075613D">
        <w:trPr>
          <w:trHeight w:val="360"/>
        </w:trPr>
        <w:tc>
          <w:tcPr>
            <w:tcW w:w="1108" w:type="dxa"/>
            <w:shd w:val="clear" w:color="000000" w:fill="C5D9F1"/>
            <w:vAlign w:val="center"/>
          </w:tcPr>
          <w:p w14:paraId="57AAA916" w14:textId="0695A6DF" w:rsidR="0075613D" w:rsidRPr="00CB4B01" w:rsidRDefault="0075613D" w:rsidP="0075613D">
            <w:pPr>
              <w:jc w:val="center"/>
              <w:rPr>
                <w:rFonts w:ascii="Aptos" w:hAnsi="Aptos" w:cs="Arial"/>
                <w:b/>
                <w:bCs/>
                <w:sz w:val="18"/>
                <w:szCs w:val="18"/>
              </w:rPr>
            </w:pPr>
            <w:r w:rsidRPr="00CB4B01">
              <w:rPr>
                <w:rFonts w:ascii="Aptos" w:hAnsi="Aptos" w:cs="Calibri"/>
                <w:b/>
                <w:bCs/>
                <w:sz w:val="18"/>
                <w:szCs w:val="18"/>
              </w:rPr>
              <w:t>1691</w:t>
            </w:r>
          </w:p>
        </w:tc>
        <w:tc>
          <w:tcPr>
            <w:tcW w:w="5843" w:type="dxa"/>
            <w:shd w:val="clear" w:color="000000" w:fill="C5D9F1"/>
            <w:vAlign w:val="center"/>
          </w:tcPr>
          <w:p w14:paraId="492596F8" w14:textId="362F7A93" w:rsidR="0075613D" w:rsidRPr="00CB4B01" w:rsidRDefault="0075613D" w:rsidP="0075613D">
            <w:pPr>
              <w:rPr>
                <w:rFonts w:ascii="Aptos" w:hAnsi="Aptos" w:cs="Arial"/>
                <w:b/>
                <w:bCs/>
                <w:sz w:val="18"/>
                <w:szCs w:val="18"/>
              </w:rPr>
            </w:pPr>
            <w:r w:rsidRPr="00CB4B01">
              <w:rPr>
                <w:rFonts w:ascii="Aptos" w:hAnsi="Aptos" w:cs="Calibri"/>
                <w:b/>
                <w:bCs/>
                <w:sz w:val="18"/>
                <w:szCs w:val="18"/>
              </w:rPr>
              <w:t>ISPRAVAK VRIJEDNOSTI POTRAŽIVANJA</w:t>
            </w:r>
          </w:p>
        </w:tc>
        <w:tc>
          <w:tcPr>
            <w:tcW w:w="1559" w:type="dxa"/>
            <w:shd w:val="clear" w:color="000000" w:fill="C5D9F1"/>
            <w:vAlign w:val="center"/>
          </w:tcPr>
          <w:p w14:paraId="421D8A1A" w14:textId="523F1B33" w:rsidR="0075613D" w:rsidRPr="00CB4B01" w:rsidRDefault="0075613D" w:rsidP="0075613D">
            <w:pPr>
              <w:jc w:val="right"/>
              <w:rPr>
                <w:rFonts w:ascii="Aptos" w:hAnsi="Aptos" w:cs="Arial"/>
                <w:b/>
                <w:bCs/>
                <w:sz w:val="18"/>
                <w:szCs w:val="18"/>
              </w:rPr>
            </w:pPr>
            <w:r w:rsidRPr="00CB4B01">
              <w:rPr>
                <w:rFonts w:ascii="Aptos" w:hAnsi="Aptos" w:cs="Arial"/>
                <w:b/>
                <w:bCs/>
                <w:sz w:val="18"/>
                <w:szCs w:val="18"/>
              </w:rPr>
              <w:t>316.072,82</w:t>
            </w:r>
          </w:p>
        </w:tc>
      </w:tr>
      <w:tr w:rsidR="0075613D" w:rsidRPr="00CB4B01" w14:paraId="09B3E7E2" w14:textId="77777777" w:rsidTr="0075613D">
        <w:trPr>
          <w:trHeight w:val="360"/>
        </w:trPr>
        <w:tc>
          <w:tcPr>
            <w:tcW w:w="1108" w:type="dxa"/>
            <w:shd w:val="clear" w:color="000000" w:fill="C5D9F1"/>
          </w:tcPr>
          <w:p w14:paraId="0131F01E" w14:textId="77777777" w:rsidR="0075613D" w:rsidRPr="00CB4B01" w:rsidRDefault="0075613D" w:rsidP="0075613D">
            <w:pPr>
              <w:jc w:val="center"/>
              <w:rPr>
                <w:rFonts w:ascii="Aptos" w:hAnsi="Aptos" w:cs="Calibri"/>
                <w:b/>
                <w:bCs/>
                <w:sz w:val="18"/>
                <w:szCs w:val="18"/>
              </w:rPr>
            </w:pPr>
          </w:p>
        </w:tc>
        <w:tc>
          <w:tcPr>
            <w:tcW w:w="5843" w:type="dxa"/>
            <w:shd w:val="clear" w:color="000000" w:fill="C5D9F1"/>
            <w:vAlign w:val="center"/>
          </w:tcPr>
          <w:p w14:paraId="73D567D7" w14:textId="2FC42B7B" w:rsidR="0075613D" w:rsidRPr="00CB4B01" w:rsidRDefault="0075613D" w:rsidP="0075613D">
            <w:pPr>
              <w:rPr>
                <w:rFonts w:ascii="Aptos" w:hAnsi="Aptos" w:cs="Calibri"/>
                <w:b/>
                <w:bCs/>
                <w:sz w:val="18"/>
                <w:szCs w:val="18"/>
              </w:rPr>
            </w:pPr>
            <w:r w:rsidRPr="00CB4B01">
              <w:rPr>
                <w:rFonts w:ascii="Aptos" w:hAnsi="Aptos" w:cs="Calibri"/>
                <w:b/>
                <w:bCs/>
                <w:sz w:val="18"/>
                <w:szCs w:val="18"/>
              </w:rPr>
              <w:t>STANJE NAKON ISPRAVKA VRIJEDNOSTI</w:t>
            </w:r>
          </w:p>
        </w:tc>
        <w:tc>
          <w:tcPr>
            <w:tcW w:w="1559" w:type="dxa"/>
            <w:shd w:val="clear" w:color="000000" w:fill="C5D9F1"/>
            <w:vAlign w:val="center"/>
          </w:tcPr>
          <w:p w14:paraId="5CFDA51B" w14:textId="2C7DCFB3" w:rsidR="0075613D" w:rsidRPr="00CB4B01" w:rsidRDefault="0075613D" w:rsidP="0075613D">
            <w:pPr>
              <w:jc w:val="right"/>
              <w:rPr>
                <w:rFonts w:ascii="Aptos" w:hAnsi="Aptos" w:cs="Arial"/>
                <w:b/>
                <w:bCs/>
                <w:sz w:val="18"/>
                <w:szCs w:val="18"/>
              </w:rPr>
            </w:pPr>
            <w:r w:rsidRPr="00CB4B01">
              <w:rPr>
                <w:rFonts w:ascii="Aptos" w:hAnsi="Aptos" w:cs="Arial"/>
                <w:b/>
                <w:bCs/>
                <w:sz w:val="18"/>
                <w:szCs w:val="18"/>
              </w:rPr>
              <w:t>1.139.190,75</w:t>
            </w:r>
          </w:p>
        </w:tc>
      </w:tr>
    </w:tbl>
    <w:p w14:paraId="2269F781" w14:textId="1B492657" w:rsidR="00F41919" w:rsidRPr="00F61B8D" w:rsidRDefault="00F41919" w:rsidP="00F41919">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r w:rsidR="009D14B2">
        <w:rPr>
          <w:rFonts w:ascii="Aptos" w:hAnsi="Aptos" w:cs="Calibri"/>
          <w:b/>
          <w:bCs/>
          <w:color w:val="000000"/>
          <w:sz w:val="22"/>
          <w:szCs w:val="22"/>
        </w:rPr>
        <w:t>3</w:t>
      </w:r>
      <w:r w:rsidRPr="00F61B8D">
        <w:rPr>
          <w:rFonts w:ascii="Aptos" w:hAnsi="Aptos" w:cs="Calibri"/>
          <w:b/>
          <w:bCs/>
          <w:color w:val="000000"/>
          <w:sz w:val="22"/>
          <w:szCs w:val="22"/>
        </w:rPr>
        <w:t>.</w:t>
      </w:r>
    </w:p>
    <w:p w14:paraId="224DE9D8" w14:textId="6AC7A21F" w:rsidR="00A661FB" w:rsidRPr="00F61B8D" w:rsidRDefault="00B3766C" w:rsidP="00154838">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17</w:t>
      </w:r>
      <w:r w:rsidR="00A661FB" w:rsidRPr="00F61B8D">
        <w:rPr>
          <w:rFonts w:ascii="Aptos" w:hAnsi="Aptos" w:cstheme="minorHAnsi"/>
          <w:b/>
          <w:sz w:val="22"/>
          <w:szCs w:val="22"/>
        </w:rPr>
        <w:t xml:space="preserve"> - Potraživanja od prodaje nefinancijske imovine</w:t>
      </w:r>
    </w:p>
    <w:p w14:paraId="4691B861" w14:textId="60508DA1" w:rsidR="00401B7A" w:rsidRPr="00F61B8D" w:rsidRDefault="00697040" w:rsidP="00401B7A">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Potraživanja od prodaje nefinancijske imovine </w:t>
      </w:r>
      <w:r w:rsidR="00672758" w:rsidRPr="00F61B8D">
        <w:rPr>
          <w:rFonts w:ascii="Aptos" w:hAnsi="Aptos" w:cstheme="minorHAnsi"/>
          <w:sz w:val="22"/>
          <w:szCs w:val="22"/>
        </w:rPr>
        <w:t>na kraju 20</w:t>
      </w:r>
      <w:r w:rsidR="00B8432C" w:rsidRPr="00F61B8D">
        <w:rPr>
          <w:rFonts w:ascii="Aptos" w:hAnsi="Aptos" w:cstheme="minorHAnsi"/>
          <w:sz w:val="22"/>
          <w:szCs w:val="22"/>
        </w:rPr>
        <w:t>2</w:t>
      </w:r>
      <w:r w:rsidR="007B2BB6" w:rsidRPr="00F61B8D">
        <w:rPr>
          <w:rFonts w:ascii="Aptos" w:hAnsi="Aptos" w:cstheme="minorHAnsi"/>
          <w:sz w:val="22"/>
          <w:szCs w:val="22"/>
        </w:rPr>
        <w:t>3</w:t>
      </w:r>
      <w:r w:rsidR="00672758" w:rsidRPr="00F61B8D">
        <w:rPr>
          <w:rFonts w:ascii="Aptos" w:hAnsi="Aptos" w:cstheme="minorHAnsi"/>
          <w:sz w:val="22"/>
          <w:szCs w:val="22"/>
        </w:rPr>
        <w:t xml:space="preserve">. </w:t>
      </w:r>
      <w:r w:rsidR="00EB6118" w:rsidRPr="00F61B8D">
        <w:rPr>
          <w:rFonts w:ascii="Aptos" w:hAnsi="Aptos" w:cstheme="minorHAnsi"/>
          <w:sz w:val="22"/>
          <w:szCs w:val="22"/>
        </w:rPr>
        <w:t>g</w:t>
      </w:r>
      <w:r w:rsidR="00672758" w:rsidRPr="00F61B8D">
        <w:rPr>
          <w:rFonts w:ascii="Aptos" w:hAnsi="Aptos" w:cstheme="minorHAnsi"/>
          <w:sz w:val="22"/>
          <w:szCs w:val="22"/>
        </w:rPr>
        <w:t xml:space="preserve">odine </w:t>
      </w:r>
      <w:r w:rsidR="007B2BB6" w:rsidRPr="00F61B8D">
        <w:rPr>
          <w:rFonts w:ascii="Aptos" w:hAnsi="Aptos" w:cstheme="minorHAnsi"/>
          <w:sz w:val="22"/>
          <w:szCs w:val="22"/>
        </w:rPr>
        <w:t>iznose 37.911,60 €, a u odnosu na prošlu godinu manja su za 50,3%</w:t>
      </w:r>
      <w:r w:rsidR="00401B7A" w:rsidRPr="00F61B8D">
        <w:rPr>
          <w:rFonts w:ascii="Aptos" w:hAnsi="Aptos" w:cstheme="minorHAnsi"/>
          <w:sz w:val="22"/>
          <w:szCs w:val="22"/>
        </w:rPr>
        <w:t xml:space="preserve">. Naime, krajem prošle godine evidentirano je potraživanje od prodaje stambenog objekta u </w:t>
      </w:r>
      <w:proofErr w:type="spellStart"/>
      <w:r w:rsidR="00401B7A" w:rsidRPr="00F61B8D">
        <w:rPr>
          <w:rFonts w:ascii="Aptos" w:hAnsi="Aptos" w:cstheme="minorHAnsi"/>
          <w:sz w:val="22"/>
          <w:szCs w:val="22"/>
        </w:rPr>
        <w:t>Krasici</w:t>
      </w:r>
      <w:proofErr w:type="spellEnd"/>
      <w:r w:rsidR="00401B7A" w:rsidRPr="00F61B8D">
        <w:rPr>
          <w:rFonts w:ascii="Aptos" w:hAnsi="Aptos" w:cstheme="minorHAnsi"/>
          <w:sz w:val="22"/>
          <w:szCs w:val="22"/>
        </w:rPr>
        <w:t xml:space="preserve"> temeljem kupoprodajnog ugovora sa fizičkom osobom u iznosu od 54.018,18 € koje je podmireno u ovom izvještajnom razdoblju.</w:t>
      </w:r>
    </w:p>
    <w:p w14:paraId="7849BC6F" w14:textId="2F2FF313" w:rsidR="00EB6118" w:rsidRPr="00F61B8D" w:rsidRDefault="000C46D2" w:rsidP="00401B7A">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P</w:t>
      </w:r>
      <w:r w:rsidR="00D15EDF" w:rsidRPr="00F61B8D">
        <w:rPr>
          <w:rFonts w:ascii="Aptos" w:hAnsi="Aptos" w:cstheme="minorHAnsi"/>
          <w:sz w:val="22"/>
          <w:szCs w:val="22"/>
        </w:rPr>
        <w:t>otraživanja</w:t>
      </w:r>
      <w:r w:rsidR="00E763BC" w:rsidRPr="00F61B8D">
        <w:rPr>
          <w:rFonts w:ascii="Aptos" w:hAnsi="Aptos" w:cstheme="minorHAnsi"/>
          <w:sz w:val="22"/>
          <w:szCs w:val="22"/>
        </w:rPr>
        <w:t xml:space="preserve"> od prodaje nefinancijske imovine</w:t>
      </w:r>
      <w:r w:rsidR="00D15EDF" w:rsidRPr="00F61B8D">
        <w:rPr>
          <w:rFonts w:ascii="Aptos" w:hAnsi="Aptos" w:cstheme="minorHAnsi"/>
          <w:sz w:val="22"/>
          <w:szCs w:val="22"/>
        </w:rPr>
        <w:t xml:space="preserve"> </w:t>
      </w:r>
      <w:r w:rsidR="00B3766C" w:rsidRPr="00F61B8D">
        <w:rPr>
          <w:rFonts w:ascii="Aptos" w:hAnsi="Aptos" w:cstheme="minorHAnsi"/>
          <w:sz w:val="22"/>
          <w:szCs w:val="22"/>
        </w:rPr>
        <w:t xml:space="preserve">uključuju </w:t>
      </w:r>
      <w:r w:rsidR="00697040" w:rsidRPr="00F61B8D">
        <w:rPr>
          <w:rFonts w:ascii="Aptos" w:hAnsi="Aptos" w:cstheme="minorHAnsi"/>
          <w:sz w:val="22"/>
          <w:szCs w:val="22"/>
        </w:rPr>
        <w:t xml:space="preserve">potraživanja </w:t>
      </w:r>
      <w:r w:rsidRPr="00F61B8D">
        <w:rPr>
          <w:rFonts w:ascii="Aptos" w:hAnsi="Aptos" w:cstheme="minorHAnsi"/>
          <w:sz w:val="22"/>
          <w:szCs w:val="22"/>
        </w:rPr>
        <w:t xml:space="preserve">od </w:t>
      </w:r>
      <w:r w:rsidR="00AD647F" w:rsidRPr="00F61B8D">
        <w:rPr>
          <w:rFonts w:ascii="Aptos" w:hAnsi="Aptos" w:cstheme="minorHAnsi"/>
          <w:sz w:val="22"/>
          <w:szCs w:val="22"/>
        </w:rPr>
        <w:t xml:space="preserve">fizičkih osoba za </w:t>
      </w:r>
      <w:r w:rsidRPr="00F61B8D">
        <w:rPr>
          <w:rFonts w:ascii="Aptos" w:hAnsi="Aptos" w:cstheme="minorHAnsi"/>
          <w:sz w:val="22"/>
          <w:szCs w:val="22"/>
        </w:rPr>
        <w:t>prodaj</w:t>
      </w:r>
      <w:r w:rsidR="00AD647F" w:rsidRPr="00F61B8D">
        <w:rPr>
          <w:rFonts w:ascii="Aptos" w:hAnsi="Aptos" w:cstheme="minorHAnsi"/>
          <w:sz w:val="22"/>
          <w:szCs w:val="22"/>
        </w:rPr>
        <w:t>u</w:t>
      </w:r>
      <w:r w:rsidRPr="00F61B8D">
        <w:rPr>
          <w:rFonts w:ascii="Aptos" w:hAnsi="Aptos" w:cstheme="minorHAnsi"/>
          <w:sz w:val="22"/>
          <w:szCs w:val="22"/>
        </w:rPr>
        <w:t xml:space="preserve"> stanova</w:t>
      </w:r>
      <w:r w:rsidR="006E395D" w:rsidRPr="00F61B8D">
        <w:rPr>
          <w:rFonts w:ascii="Aptos" w:hAnsi="Aptos" w:cstheme="minorHAnsi"/>
          <w:sz w:val="22"/>
          <w:szCs w:val="22"/>
        </w:rPr>
        <w:t xml:space="preserve">  putem odobrenih</w:t>
      </w:r>
      <w:r w:rsidR="00F0336C" w:rsidRPr="00F61B8D">
        <w:rPr>
          <w:rFonts w:ascii="Aptos" w:hAnsi="Aptos" w:cstheme="minorHAnsi"/>
          <w:sz w:val="22"/>
          <w:szCs w:val="22"/>
        </w:rPr>
        <w:t xml:space="preserve"> dugoročnih</w:t>
      </w:r>
      <w:r w:rsidR="006E395D" w:rsidRPr="00F61B8D">
        <w:rPr>
          <w:rFonts w:ascii="Aptos" w:hAnsi="Aptos" w:cstheme="minorHAnsi"/>
          <w:sz w:val="22"/>
          <w:szCs w:val="22"/>
        </w:rPr>
        <w:t xml:space="preserve"> kredita</w:t>
      </w:r>
      <w:r w:rsidR="002E51BE" w:rsidRPr="00F61B8D">
        <w:rPr>
          <w:rFonts w:ascii="Aptos" w:hAnsi="Aptos" w:cstheme="minorHAnsi"/>
          <w:sz w:val="22"/>
          <w:szCs w:val="22"/>
        </w:rPr>
        <w:t xml:space="preserve"> u iznosu od </w:t>
      </w:r>
      <w:r w:rsidR="00401B7A" w:rsidRPr="00F61B8D">
        <w:rPr>
          <w:rFonts w:ascii="Aptos" w:hAnsi="Aptos" w:cstheme="minorHAnsi"/>
          <w:sz w:val="22"/>
          <w:szCs w:val="22"/>
        </w:rPr>
        <w:t>18.389,28 €</w:t>
      </w:r>
      <w:r w:rsidR="00AD647F" w:rsidRPr="00F61B8D">
        <w:rPr>
          <w:rFonts w:ascii="Aptos" w:hAnsi="Aptos" w:cstheme="minorHAnsi"/>
          <w:sz w:val="22"/>
          <w:szCs w:val="22"/>
        </w:rPr>
        <w:t xml:space="preserve">, </w:t>
      </w:r>
      <w:r w:rsidR="00472B91" w:rsidRPr="00F61B8D">
        <w:rPr>
          <w:rFonts w:ascii="Aptos" w:hAnsi="Aptos" w:cstheme="minorHAnsi"/>
          <w:sz w:val="22"/>
          <w:szCs w:val="22"/>
        </w:rPr>
        <w:t xml:space="preserve">potraživanja od prodaje zemljišta </w:t>
      </w:r>
      <w:r w:rsidR="00401B7A" w:rsidRPr="00F61B8D">
        <w:rPr>
          <w:rFonts w:ascii="Aptos" w:hAnsi="Aptos" w:cstheme="minorHAnsi"/>
          <w:sz w:val="22"/>
          <w:szCs w:val="22"/>
        </w:rPr>
        <w:t>i</w:t>
      </w:r>
      <w:r w:rsidR="00AD647F" w:rsidRPr="00F61B8D">
        <w:rPr>
          <w:rFonts w:ascii="Aptos" w:hAnsi="Aptos" w:cstheme="minorHAnsi"/>
          <w:sz w:val="22"/>
          <w:szCs w:val="22"/>
        </w:rPr>
        <w:t xml:space="preserve"> </w:t>
      </w:r>
      <w:r w:rsidR="002E51BE" w:rsidRPr="00F61B8D">
        <w:rPr>
          <w:rFonts w:ascii="Aptos" w:hAnsi="Aptos" w:cstheme="minorHAnsi"/>
          <w:sz w:val="22"/>
          <w:szCs w:val="22"/>
        </w:rPr>
        <w:t xml:space="preserve">ostala </w:t>
      </w:r>
      <w:r w:rsidR="00AD647F" w:rsidRPr="00F61B8D">
        <w:rPr>
          <w:rFonts w:ascii="Aptos" w:hAnsi="Aptos" w:cstheme="minorHAnsi"/>
          <w:sz w:val="22"/>
          <w:szCs w:val="22"/>
        </w:rPr>
        <w:t>potraživanja</w:t>
      </w:r>
      <w:r w:rsidR="00472B91" w:rsidRPr="00F61B8D">
        <w:rPr>
          <w:rFonts w:ascii="Aptos" w:hAnsi="Aptos" w:cstheme="minorHAnsi"/>
          <w:sz w:val="22"/>
          <w:szCs w:val="22"/>
        </w:rPr>
        <w:t xml:space="preserve"> </w:t>
      </w:r>
      <w:r w:rsidR="0020588E" w:rsidRPr="00F61B8D">
        <w:rPr>
          <w:rFonts w:ascii="Aptos" w:hAnsi="Aptos" w:cstheme="minorHAnsi"/>
          <w:sz w:val="22"/>
          <w:szCs w:val="22"/>
        </w:rPr>
        <w:t>od</w:t>
      </w:r>
      <w:r w:rsidR="002E51BE" w:rsidRPr="00F61B8D">
        <w:rPr>
          <w:rFonts w:ascii="Aptos" w:hAnsi="Aptos" w:cstheme="minorHAnsi"/>
          <w:sz w:val="22"/>
          <w:szCs w:val="22"/>
        </w:rPr>
        <w:t xml:space="preserve"> fizičkih osoba </w:t>
      </w:r>
      <w:r w:rsidR="0020588E" w:rsidRPr="00F61B8D">
        <w:rPr>
          <w:rFonts w:ascii="Aptos" w:hAnsi="Aptos" w:cstheme="minorHAnsi"/>
          <w:sz w:val="22"/>
          <w:szCs w:val="22"/>
        </w:rPr>
        <w:t>i Hrvatsk</w:t>
      </w:r>
      <w:r w:rsidR="002E51BE" w:rsidRPr="00F61B8D">
        <w:rPr>
          <w:rFonts w:ascii="Aptos" w:hAnsi="Aptos" w:cstheme="minorHAnsi"/>
          <w:sz w:val="22"/>
          <w:szCs w:val="22"/>
        </w:rPr>
        <w:t>ih</w:t>
      </w:r>
      <w:r w:rsidR="0020588E" w:rsidRPr="00F61B8D">
        <w:rPr>
          <w:rFonts w:ascii="Aptos" w:hAnsi="Aptos" w:cstheme="minorHAnsi"/>
          <w:sz w:val="22"/>
          <w:szCs w:val="22"/>
        </w:rPr>
        <w:t xml:space="preserve"> cest</w:t>
      </w:r>
      <w:r w:rsidR="009652B7" w:rsidRPr="00F61B8D">
        <w:rPr>
          <w:rFonts w:ascii="Aptos" w:hAnsi="Aptos" w:cstheme="minorHAnsi"/>
          <w:sz w:val="22"/>
          <w:szCs w:val="22"/>
        </w:rPr>
        <w:t>a</w:t>
      </w:r>
      <w:r w:rsidR="0020588E" w:rsidRPr="00F61B8D">
        <w:rPr>
          <w:rFonts w:ascii="Aptos" w:hAnsi="Aptos" w:cstheme="minorHAnsi"/>
          <w:sz w:val="22"/>
          <w:szCs w:val="22"/>
        </w:rPr>
        <w:t xml:space="preserve"> za izvlaštenje zemljišta</w:t>
      </w:r>
      <w:r w:rsidR="002A75AF" w:rsidRPr="00F61B8D">
        <w:rPr>
          <w:rFonts w:ascii="Aptos" w:hAnsi="Aptos" w:cstheme="minorHAnsi"/>
          <w:sz w:val="22"/>
          <w:szCs w:val="22"/>
        </w:rPr>
        <w:t>.</w:t>
      </w:r>
    </w:p>
    <w:p w14:paraId="3FCEE550" w14:textId="3C56EC5D" w:rsidR="007A2D18" w:rsidRDefault="002A75AF" w:rsidP="0097188E">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Sukladno Pravilniku o proračunskom računovodstvu i računskom planu izvršen je ispravak vrijednosti potraživanja u iznosu od </w:t>
      </w:r>
      <w:r w:rsidR="00472B91" w:rsidRPr="00F61B8D">
        <w:rPr>
          <w:rFonts w:ascii="Aptos" w:hAnsi="Aptos" w:cstheme="minorHAnsi"/>
          <w:sz w:val="22"/>
          <w:szCs w:val="22"/>
        </w:rPr>
        <w:t>3.626,59 €</w:t>
      </w:r>
      <w:r w:rsidRPr="00F61B8D">
        <w:rPr>
          <w:rFonts w:ascii="Aptos" w:hAnsi="Aptos" w:cstheme="minorHAnsi"/>
          <w:sz w:val="22"/>
          <w:szCs w:val="22"/>
        </w:rPr>
        <w:t>.</w:t>
      </w:r>
    </w:p>
    <w:p w14:paraId="4DE27E9F" w14:textId="41DEDE2B" w:rsidR="00562910" w:rsidRPr="00F61B8D" w:rsidRDefault="00562910" w:rsidP="00562910">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Bilješka 2</w:t>
      </w:r>
      <w:r w:rsidR="005B7B0B">
        <w:rPr>
          <w:rFonts w:ascii="Aptos" w:hAnsi="Aptos" w:cs="Calibri"/>
          <w:b/>
          <w:bCs/>
          <w:color w:val="000000"/>
          <w:sz w:val="22"/>
          <w:szCs w:val="22"/>
        </w:rPr>
        <w:t>4</w:t>
      </w:r>
      <w:r w:rsidRPr="00F61B8D">
        <w:rPr>
          <w:rFonts w:ascii="Aptos" w:hAnsi="Aptos" w:cs="Calibri"/>
          <w:b/>
          <w:bCs/>
          <w:color w:val="000000"/>
          <w:sz w:val="22"/>
          <w:szCs w:val="22"/>
        </w:rPr>
        <w:t>.</w:t>
      </w:r>
    </w:p>
    <w:p w14:paraId="05207AB9" w14:textId="0CE57F7C" w:rsidR="00562910" w:rsidRPr="00F61B8D" w:rsidRDefault="00562910" w:rsidP="00562910">
      <w:pPr>
        <w:spacing w:before="60" w:after="60"/>
        <w:ind w:left="-426" w:right="-380"/>
        <w:jc w:val="both"/>
        <w:rPr>
          <w:rFonts w:ascii="Aptos" w:hAnsi="Aptos" w:cstheme="minorHAnsi"/>
          <w:b/>
          <w:sz w:val="22"/>
          <w:szCs w:val="22"/>
        </w:rPr>
      </w:pPr>
      <w:r w:rsidRPr="00F61B8D">
        <w:rPr>
          <w:rFonts w:ascii="Aptos" w:hAnsi="Aptos" w:cstheme="minorHAnsi"/>
          <w:b/>
          <w:sz w:val="22"/>
          <w:szCs w:val="22"/>
        </w:rPr>
        <w:t>ŠIFRA 1</w:t>
      </w:r>
      <w:r>
        <w:rPr>
          <w:rFonts w:ascii="Aptos" w:hAnsi="Aptos" w:cstheme="minorHAnsi"/>
          <w:b/>
          <w:sz w:val="22"/>
          <w:szCs w:val="22"/>
        </w:rPr>
        <w:t>9</w:t>
      </w:r>
      <w:r w:rsidRPr="00F61B8D">
        <w:rPr>
          <w:rFonts w:ascii="Aptos" w:hAnsi="Aptos" w:cstheme="minorHAnsi"/>
          <w:b/>
          <w:sz w:val="22"/>
          <w:szCs w:val="22"/>
        </w:rPr>
        <w:t xml:space="preserve"> </w:t>
      </w:r>
      <w:r>
        <w:rPr>
          <w:rFonts w:ascii="Aptos" w:hAnsi="Aptos" w:cstheme="minorHAnsi"/>
          <w:b/>
          <w:sz w:val="22"/>
          <w:szCs w:val="22"/>
        </w:rPr>
        <w:t>–</w:t>
      </w:r>
      <w:r w:rsidRPr="00F61B8D">
        <w:rPr>
          <w:rFonts w:ascii="Aptos" w:hAnsi="Aptos" w:cstheme="minorHAnsi"/>
          <w:b/>
          <w:sz w:val="22"/>
          <w:szCs w:val="22"/>
        </w:rPr>
        <w:t xml:space="preserve"> </w:t>
      </w:r>
      <w:r>
        <w:rPr>
          <w:rFonts w:ascii="Aptos" w:hAnsi="Aptos" w:cstheme="minorHAnsi"/>
          <w:b/>
          <w:sz w:val="22"/>
          <w:szCs w:val="22"/>
        </w:rPr>
        <w:t>Rashodi budućih razdoblja i nedospjela naplata prihoda</w:t>
      </w:r>
    </w:p>
    <w:p w14:paraId="6BB1535F" w14:textId="1A5587FE" w:rsidR="00562910" w:rsidRDefault="00562910" w:rsidP="00562910">
      <w:pPr>
        <w:spacing w:before="60" w:after="60"/>
        <w:ind w:left="-425" w:right="-380" w:firstLine="284"/>
        <w:jc w:val="both"/>
        <w:rPr>
          <w:rFonts w:ascii="Aptos" w:hAnsi="Aptos" w:cstheme="minorHAnsi"/>
          <w:sz w:val="22"/>
          <w:szCs w:val="22"/>
        </w:rPr>
      </w:pPr>
      <w:r>
        <w:rPr>
          <w:rFonts w:ascii="Aptos" w:hAnsi="Aptos" w:cstheme="minorHAnsi"/>
          <w:sz w:val="22"/>
          <w:szCs w:val="22"/>
        </w:rPr>
        <w:t>Ovi su rashodi evidentirani u iznosu od 22.153,43 €, a obuhvaćaju:</w:t>
      </w:r>
    </w:p>
    <w:p w14:paraId="0ED01AC4" w14:textId="4432E006" w:rsidR="00562910" w:rsidRDefault="00562910" w:rsidP="00562910">
      <w:pPr>
        <w:pStyle w:val="Odlomakpopisa"/>
        <w:numPr>
          <w:ilvl w:val="0"/>
          <w:numId w:val="12"/>
        </w:numPr>
        <w:spacing w:before="60" w:after="60"/>
        <w:ind w:left="0" w:right="-380" w:hanging="284"/>
        <w:contextualSpacing w:val="0"/>
        <w:jc w:val="both"/>
        <w:rPr>
          <w:rFonts w:ascii="Aptos" w:hAnsi="Aptos" w:cstheme="minorHAnsi"/>
          <w:sz w:val="22"/>
          <w:szCs w:val="22"/>
        </w:rPr>
      </w:pPr>
      <w:r>
        <w:rPr>
          <w:rFonts w:ascii="Aptos" w:hAnsi="Aptos" w:cstheme="minorHAnsi"/>
          <w:sz w:val="22"/>
          <w:szCs w:val="22"/>
        </w:rPr>
        <w:t xml:space="preserve">rashode budućih razdoblja – šifra 191 u iznosu od 13.072,25 € koji uključuju pretplate za tiskana i on-line izdanja časopisa, korištenja portala i sl. te rashode </w:t>
      </w:r>
      <w:r w:rsidRPr="00701352">
        <w:rPr>
          <w:rFonts w:ascii="Aptos" w:hAnsi="Aptos" w:cstheme="minorHAnsi"/>
          <w:sz w:val="22"/>
          <w:szCs w:val="22"/>
        </w:rPr>
        <w:t>dopunskog zdravstvenog osiguranja zaposlenika gradske uprave</w:t>
      </w:r>
      <w:r>
        <w:rPr>
          <w:rFonts w:ascii="Aptos" w:hAnsi="Aptos" w:cstheme="minorHAnsi"/>
          <w:sz w:val="22"/>
          <w:szCs w:val="22"/>
        </w:rPr>
        <w:t xml:space="preserve"> za 2024. godinu</w:t>
      </w:r>
    </w:p>
    <w:p w14:paraId="68240ED1" w14:textId="4FF705F3" w:rsidR="00562910" w:rsidRPr="001874DC" w:rsidRDefault="001874DC" w:rsidP="001874DC">
      <w:pPr>
        <w:pStyle w:val="Odlomakpopisa"/>
        <w:numPr>
          <w:ilvl w:val="0"/>
          <w:numId w:val="12"/>
        </w:numPr>
        <w:spacing w:before="60" w:after="60"/>
        <w:ind w:left="0" w:right="-380" w:hanging="284"/>
        <w:contextualSpacing w:val="0"/>
        <w:jc w:val="both"/>
        <w:rPr>
          <w:rFonts w:ascii="Aptos" w:hAnsi="Aptos" w:cstheme="minorHAnsi"/>
          <w:sz w:val="22"/>
          <w:szCs w:val="22"/>
        </w:rPr>
      </w:pPr>
      <w:r>
        <w:rPr>
          <w:rFonts w:ascii="Aptos" w:hAnsi="Aptos" w:cstheme="minorHAnsi"/>
          <w:sz w:val="22"/>
          <w:szCs w:val="22"/>
        </w:rPr>
        <w:t xml:space="preserve">nedospjelu naplatu prihoda – šifra 192 u iznosu od 9.083,18 € koja se odnosi na sredstva iz cijene komunalnih usluga prijevoza i odvoza i zbrinjavanja otpada komunalnih društava Autotrolej d.o.o. Rijeka i Čistoća d.o.o. Rijeka </w:t>
      </w:r>
      <w:r w:rsidRPr="00F61B8D">
        <w:rPr>
          <w:rFonts w:ascii="Aptos" w:hAnsi="Aptos" w:cstheme="minorHAnsi"/>
          <w:sz w:val="22"/>
          <w:szCs w:val="22"/>
        </w:rPr>
        <w:t>namijenjene razvoj</w:t>
      </w:r>
      <w:r>
        <w:rPr>
          <w:rFonts w:ascii="Aptos" w:hAnsi="Aptos" w:cstheme="minorHAnsi"/>
          <w:sz w:val="22"/>
          <w:szCs w:val="22"/>
        </w:rPr>
        <w:t>u</w:t>
      </w:r>
    </w:p>
    <w:p w14:paraId="534B9F51" w14:textId="2E2D9CC6" w:rsidR="007A2D18" w:rsidRPr="00F61B8D" w:rsidRDefault="002A75AF" w:rsidP="002A75AF">
      <w:pPr>
        <w:pBdr>
          <w:top w:val="single" w:sz="4" w:space="1" w:color="auto"/>
          <w:left w:val="single" w:sz="4" w:space="4"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2</w:t>
      </w:r>
      <w:r w:rsidR="00A661FB" w:rsidRPr="00F61B8D">
        <w:rPr>
          <w:rFonts w:ascii="Aptos" w:hAnsi="Aptos" w:cstheme="minorHAnsi"/>
          <w:b/>
          <w:sz w:val="22"/>
          <w:szCs w:val="22"/>
        </w:rPr>
        <w:t xml:space="preserve"> - </w:t>
      </w:r>
      <w:r w:rsidR="001F4633" w:rsidRPr="00F61B8D">
        <w:rPr>
          <w:rFonts w:ascii="Aptos" w:hAnsi="Aptos" w:cstheme="minorHAnsi"/>
          <w:b/>
          <w:sz w:val="22"/>
          <w:szCs w:val="22"/>
        </w:rPr>
        <w:t>OBVEZE</w:t>
      </w:r>
    </w:p>
    <w:p w14:paraId="1C1BDCD2" w14:textId="330DE311" w:rsidR="005C3EC0" w:rsidRPr="001874DC" w:rsidRDefault="005C3EC0" w:rsidP="001874DC">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sidR="00F41919" w:rsidRPr="00F61B8D">
        <w:rPr>
          <w:rFonts w:ascii="Aptos" w:hAnsi="Aptos" w:cs="Calibri"/>
          <w:b/>
          <w:bCs/>
          <w:color w:val="000000"/>
          <w:sz w:val="22"/>
          <w:szCs w:val="22"/>
        </w:rPr>
        <w:t>2</w:t>
      </w:r>
      <w:r w:rsidR="005B7B0B">
        <w:rPr>
          <w:rFonts w:ascii="Aptos" w:hAnsi="Aptos" w:cs="Calibri"/>
          <w:b/>
          <w:bCs/>
          <w:color w:val="000000"/>
          <w:sz w:val="22"/>
          <w:szCs w:val="22"/>
        </w:rPr>
        <w:t>5</w:t>
      </w:r>
      <w:r w:rsidRPr="00F61B8D">
        <w:rPr>
          <w:rFonts w:ascii="Aptos" w:hAnsi="Aptos" w:cs="Calibri"/>
          <w:b/>
          <w:bCs/>
          <w:color w:val="000000"/>
          <w:sz w:val="22"/>
          <w:szCs w:val="22"/>
        </w:rPr>
        <w:t>.</w:t>
      </w:r>
    </w:p>
    <w:p w14:paraId="172BD373" w14:textId="213CD21F" w:rsidR="00683B6B" w:rsidRDefault="003573A7" w:rsidP="002A75AF">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Ukupne obveze Grada Bakra na dan 31.12.20</w:t>
      </w:r>
      <w:r w:rsidR="001839B3" w:rsidRPr="00F61B8D">
        <w:rPr>
          <w:rFonts w:ascii="Aptos" w:hAnsi="Aptos" w:cstheme="minorHAnsi"/>
          <w:sz w:val="22"/>
          <w:szCs w:val="22"/>
        </w:rPr>
        <w:t>2</w:t>
      </w:r>
      <w:r w:rsidR="003D3041">
        <w:rPr>
          <w:rFonts w:ascii="Aptos" w:hAnsi="Aptos" w:cstheme="minorHAnsi"/>
          <w:sz w:val="22"/>
          <w:szCs w:val="22"/>
        </w:rPr>
        <w:t>3</w:t>
      </w:r>
      <w:r w:rsidRPr="00F61B8D">
        <w:rPr>
          <w:rFonts w:ascii="Aptos" w:hAnsi="Aptos" w:cstheme="minorHAnsi"/>
          <w:sz w:val="22"/>
          <w:szCs w:val="22"/>
        </w:rPr>
        <w:t xml:space="preserve">. godine iznose </w:t>
      </w:r>
      <w:r w:rsidR="003D3041">
        <w:rPr>
          <w:rFonts w:ascii="Aptos" w:hAnsi="Aptos" w:cstheme="minorHAnsi"/>
          <w:sz w:val="22"/>
          <w:szCs w:val="22"/>
        </w:rPr>
        <w:t>1.200.274,</w:t>
      </w:r>
      <w:r w:rsidR="003D3041" w:rsidRPr="005B7B0B">
        <w:rPr>
          <w:rFonts w:ascii="Aptos" w:hAnsi="Aptos" w:cstheme="minorHAnsi"/>
          <w:sz w:val="22"/>
          <w:szCs w:val="22"/>
        </w:rPr>
        <w:t xml:space="preserve">61 </w:t>
      </w:r>
      <w:r w:rsidR="003D3041">
        <w:rPr>
          <w:rFonts w:ascii="Aptos" w:hAnsi="Aptos" w:cstheme="minorHAnsi"/>
          <w:sz w:val="22"/>
          <w:szCs w:val="22"/>
        </w:rPr>
        <w:t>€</w:t>
      </w:r>
      <w:r w:rsidR="00A661FB" w:rsidRPr="00F61B8D">
        <w:rPr>
          <w:rFonts w:ascii="Aptos" w:hAnsi="Aptos" w:cstheme="minorHAnsi"/>
          <w:sz w:val="22"/>
          <w:szCs w:val="22"/>
        </w:rPr>
        <w:t>,</w:t>
      </w:r>
      <w:r w:rsidR="003559E2" w:rsidRPr="00F61B8D">
        <w:rPr>
          <w:rFonts w:ascii="Aptos" w:hAnsi="Aptos" w:cstheme="minorHAnsi"/>
          <w:sz w:val="22"/>
          <w:szCs w:val="22"/>
        </w:rPr>
        <w:t xml:space="preserve"> </w:t>
      </w:r>
      <w:r w:rsidRPr="00F61B8D">
        <w:rPr>
          <w:rFonts w:ascii="Aptos" w:hAnsi="Aptos" w:cstheme="minorHAnsi"/>
          <w:sz w:val="22"/>
          <w:szCs w:val="22"/>
        </w:rPr>
        <w:t xml:space="preserve">te su za </w:t>
      </w:r>
      <w:r w:rsidR="003D3041">
        <w:rPr>
          <w:rFonts w:ascii="Aptos" w:hAnsi="Aptos" w:cstheme="minorHAnsi"/>
          <w:sz w:val="22"/>
          <w:szCs w:val="22"/>
        </w:rPr>
        <w:t>36,0</w:t>
      </w:r>
      <w:r w:rsidR="00B9075D" w:rsidRPr="00F61B8D">
        <w:rPr>
          <w:rFonts w:ascii="Aptos" w:hAnsi="Aptos" w:cstheme="minorHAnsi"/>
          <w:sz w:val="22"/>
          <w:szCs w:val="22"/>
        </w:rPr>
        <w:t xml:space="preserve">% </w:t>
      </w:r>
      <w:r w:rsidR="002A75AF" w:rsidRPr="00F61B8D">
        <w:rPr>
          <w:rFonts w:ascii="Aptos" w:hAnsi="Aptos" w:cstheme="minorHAnsi"/>
          <w:sz w:val="22"/>
          <w:szCs w:val="22"/>
        </w:rPr>
        <w:t>manje</w:t>
      </w:r>
      <w:r w:rsidRPr="00F61B8D">
        <w:rPr>
          <w:rFonts w:ascii="Aptos" w:hAnsi="Aptos" w:cstheme="minorHAnsi"/>
          <w:sz w:val="22"/>
          <w:szCs w:val="22"/>
        </w:rPr>
        <w:t xml:space="preserve"> u odnosu na</w:t>
      </w:r>
      <w:r w:rsidR="000E080B" w:rsidRPr="00F61B8D">
        <w:rPr>
          <w:rFonts w:ascii="Aptos" w:hAnsi="Aptos" w:cstheme="minorHAnsi"/>
          <w:sz w:val="22"/>
          <w:szCs w:val="22"/>
        </w:rPr>
        <w:t xml:space="preserve"> ukupne</w:t>
      </w:r>
      <w:r w:rsidRPr="00F61B8D">
        <w:rPr>
          <w:rFonts w:ascii="Aptos" w:hAnsi="Aptos" w:cstheme="minorHAnsi"/>
          <w:sz w:val="22"/>
          <w:szCs w:val="22"/>
        </w:rPr>
        <w:t xml:space="preserve"> obveze iz 20</w:t>
      </w:r>
      <w:r w:rsidR="002E51BE" w:rsidRPr="00F61B8D">
        <w:rPr>
          <w:rFonts w:ascii="Aptos" w:hAnsi="Aptos" w:cstheme="minorHAnsi"/>
          <w:sz w:val="22"/>
          <w:szCs w:val="22"/>
        </w:rPr>
        <w:t>2</w:t>
      </w:r>
      <w:r w:rsidR="003D3041">
        <w:rPr>
          <w:rFonts w:ascii="Aptos" w:hAnsi="Aptos" w:cstheme="minorHAnsi"/>
          <w:sz w:val="22"/>
          <w:szCs w:val="22"/>
        </w:rPr>
        <w:t>2</w:t>
      </w:r>
      <w:r w:rsidRPr="00F61B8D">
        <w:rPr>
          <w:rFonts w:ascii="Aptos" w:hAnsi="Aptos" w:cstheme="minorHAnsi"/>
          <w:sz w:val="22"/>
          <w:szCs w:val="22"/>
        </w:rPr>
        <w:t xml:space="preserve">. </w:t>
      </w:r>
      <w:r w:rsidR="00087DE4" w:rsidRPr="00F61B8D">
        <w:rPr>
          <w:rFonts w:ascii="Aptos" w:hAnsi="Aptos" w:cstheme="minorHAnsi"/>
          <w:sz w:val="22"/>
          <w:szCs w:val="22"/>
        </w:rPr>
        <w:t>g</w:t>
      </w:r>
      <w:r w:rsidRPr="00F61B8D">
        <w:rPr>
          <w:rFonts w:ascii="Aptos" w:hAnsi="Aptos" w:cstheme="minorHAnsi"/>
          <w:sz w:val="22"/>
          <w:szCs w:val="22"/>
        </w:rPr>
        <w:t>odin</w:t>
      </w:r>
      <w:r w:rsidR="000C46D2" w:rsidRPr="00F61B8D">
        <w:rPr>
          <w:rFonts w:ascii="Aptos" w:hAnsi="Aptos" w:cstheme="minorHAnsi"/>
          <w:sz w:val="22"/>
          <w:szCs w:val="22"/>
        </w:rPr>
        <w:t>e</w:t>
      </w:r>
      <w:r w:rsidR="00486F48" w:rsidRPr="00F61B8D">
        <w:rPr>
          <w:rFonts w:ascii="Aptos" w:hAnsi="Aptos" w:cstheme="minorHAnsi"/>
          <w:sz w:val="22"/>
          <w:szCs w:val="22"/>
        </w:rPr>
        <w:t>.</w:t>
      </w:r>
      <w:r w:rsidR="00C70C40" w:rsidRPr="00F61B8D">
        <w:rPr>
          <w:rFonts w:ascii="Aptos" w:hAnsi="Aptos" w:cstheme="minorHAnsi"/>
          <w:sz w:val="22"/>
          <w:szCs w:val="22"/>
        </w:rPr>
        <w:t xml:space="preserve"> Stanje obveza odnosi se na slijedeće</w:t>
      </w:r>
      <w:r w:rsidR="00DD2BE0" w:rsidRPr="00F61B8D">
        <w:rPr>
          <w:rFonts w:ascii="Aptos" w:hAnsi="Aptos" w:cstheme="minorHAnsi"/>
          <w:sz w:val="22"/>
          <w:szCs w:val="22"/>
        </w:rPr>
        <w:t>:</w:t>
      </w:r>
    </w:p>
    <w:tbl>
      <w:tblPr>
        <w:tblW w:w="9392" w:type="dxa"/>
        <w:tblLook w:val="04A0" w:firstRow="1" w:lastRow="0" w:firstColumn="1" w:lastColumn="0" w:noHBand="0" w:noVBand="1"/>
      </w:tblPr>
      <w:tblGrid>
        <w:gridCol w:w="1360"/>
        <w:gridCol w:w="4872"/>
        <w:gridCol w:w="3160"/>
      </w:tblGrid>
      <w:tr w:rsidR="003D3041" w:rsidRPr="003D3041" w14:paraId="0A66401F" w14:textId="77777777" w:rsidTr="003D3041">
        <w:trPr>
          <w:trHeight w:val="276"/>
        </w:trPr>
        <w:tc>
          <w:tcPr>
            <w:tcW w:w="1360" w:type="dxa"/>
            <w:shd w:val="clear" w:color="000000" w:fill="FCD5B4"/>
            <w:hideMark/>
          </w:tcPr>
          <w:p w14:paraId="43E3EC7A" w14:textId="77777777" w:rsidR="003D3041" w:rsidRPr="003D3041" w:rsidRDefault="003D3041" w:rsidP="003D3041">
            <w:pPr>
              <w:jc w:val="center"/>
              <w:rPr>
                <w:rFonts w:ascii="Aptos" w:hAnsi="Aptos" w:cs="Arial"/>
                <w:b/>
                <w:bCs/>
                <w:sz w:val="18"/>
                <w:szCs w:val="18"/>
              </w:rPr>
            </w:pPr>
            <w:r w:rsidRPr="003D3041">
              <w:rPr>
                <w:rFonts w:ascii="Aptos" w:hAnsi="Aptos" w:cs="Arial"/>
                <w:b/>
                <w:bCs/>
                <w:sz w:val="18"/>
                <w:szCs w:val="18"/>
              </w:rPr>
              <w:t>KONTO</w:t>
            </w:r>
          </w:p>
        </w:tc>
        <w:tc>
          <w:tcPr>
            <w:tcW w:w="4872" w:type="dxa"/>
            <w:shd w:val="clear" w:color="000000" w:fill="FCD5B4"/>
            <w:hideMark/>
          </w:tcPr>
          <w:p w14:paraId="19F3CDAE" w14:textId="77777777" w:rsidR="003D3041" w:rsidRPr="003D3041" w:rsidRDefault="003D3041" w:rsidP="003D3041">
            <w:pPr>
              <w:jc w:val="center"/>
              <w:rPr>
                <w:rFonts w:ascii="Aptos" w:hAnsi="Aptos" w:cs="Arial"/>
                <w:b/>
                <w:bCs/>
                <w:sz w:val="18"/>
                <w:szCs w:val="18"/>
              </w:rPr>
            </w:pPr>
            <w:r w:rsidRPr="003D3041">
              <w:rPr>
                <w:rFonts w:ascii="Aptos" w:hAnsi="Aptos" w:cs="Arial"/>
                <w:b/>
                <w:bCs/>
                <w:sz w:val="18"/>
                <w:szCs w:val="18"/>
              </w:rPr>
              <w:t>VRSTA OBVEZE</w:t>
            </w:r>
          </w:p>
        </w:tc>
        <w:tc>
          <w:tcPr>
            <w:tcW w:w="3160" w:type="dxa"/>
            <w:shd w:val="clear" w:color="000000" w:fill="FCD5B4"/>
            <w:hideMark/>
          </w:tcPr>
          <w:p w14:paraId="39263905" w14:textId="499D7AEF" w:rsidR="003D3041" w:rsidRPr="003D3041" w:rsidRDefault="003D3041" w:rsidP="003D3041">
            <w:pPr>
              <w:jc w:val="center"/>
              <w:rPr>
                <w:rFonts w:ascii="Aptos" w:hAnsi="Aptos" w:cs="Arial"/>
                <w:b/>
                <w:bCs/>
                <w:sz w:val="18"/>
                <w:szCs w:val="18"/>
              </w:rPr>
            </w:pPr>
            <w:r>
              <w:rPr>
                <w:rFonts w:ascii="Aptos" w:hAnsi="Aptos" w:cs="Arial"/>
                <w:b/>
                <w:bCs/>
                <w:sz w:val="18"/>
                <w:szCs w:val="18"/>
              </w:rPr>
              <w:t>SALDO</w:t>
            </w:r>
          </w:p>
        </w:tc>
      </w:tr>
      <w:tr w:rsidR="003D3041" w:rsidRPr="003D3041" w14:paraId="2A9CE86C" w14:textId="77777777" w:rsidTr="003D3041">
        <w:trPr>
          <w:trHeight w:val="276"/>
        </w:trPr>
        <w:tc>
          <w:tcPr>
            <w:tcW w:w="1360" w:type="dxa"/>
            <w:shd w:val="clear" w:color="auto" w:fill="auto"/>
            <w:hideMark/>
          </w:tcPr>
          <w:p w14:paraId="0FB6ADCC"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231</w:t>
            </w:r>
          </w:p>
        </w:tc>
        <w:tc>
          <w:tcPr>
            <w:tcW w:w="4872" w:type="dxa"/>
            <w:shd w:val="clear" w:color="auto" w:fill="auto"/>
            <w:hideMark/>
          </w:tcPr>
          <w:p w14:paraId="6E3617FD"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zaposlene</w:t>
            </w:r>
          </w:p>
        </w:tc>
        <w:tc>
          <w:tcPr>
            <w:tcW w:w="3160" w:type="dxa"/>
            <w:shd w:val="clear" w:color="auto" w:fill="auto"/>
            <w:hideMark/>
          </w:tcPr>
          <w:p w14:paraId="2C433D8C"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47.486,38</w:t>
            </w:r>
          </w:p>
        </w:tc>
      </w:tr>
      <w:tr w:rsidR="003D3041" w:rsidRPr="003D3041" w14:paraId="1203860B" w14:textId="77777777" w:rsidTr="003D3041">
        <w:trPr>
          <w:trHeight w:val="276"/>
        </w:trPr>
        <w:tc>
          <w:tcPr>
            <w:tcW w:w="1360" w:type="dxa"/>
            <w:shd w:val="clear" w:color="auto" w:fill="auto"/>
            <w:hideMark/>
          </w:tcPr>
          <w:p w14:paraId="608D326D"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232</w:t>
            </w:r>
          </w:p>
        </w:tc>
        <w:tc>
          <w:tcPr>
            <w:tcW w:w="4872" w:type="dxa"/>
            <w:shd w:val="clear" w:color="auto" w:fill="auto"/>
            <w:hideMark/>
          </w:tcPr>
          <w:p w14:paraId="23D46C78"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materijalne rashode</w:t>
            </w:r>
          </w:p>
        </w:tc>
        <w:tc>
          <w:tcPr>
            <w:tcW w:w="3160" w:type="dxa"/>
            <w:shd w:val="clear" w:color="auto" w:fill="auto"/>
            <w:hideMark/>
          </w:tcPr>
          <w:p w14:paraId="27520E83"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402.112,69</w:t>
            </w:r>
          </w:p>
        </w:tc>
      </w:tr>
      <w:tr w:rsidR="003D3041" w:rsidRPr="003D3041" w14:paraId="0A016B6B" w14:textId="77777777" w:rsidTr="003D3041">
        <w:trPr>
          <w:trHeight w:val="276"/>
        </w:trPr>
        <w:tc>
          <w:tcPr>
            <w:tcW w:w="1360" w:type="dxa"/>
            <w:shd w:val="clear" w:color="auto" w:fill="auto"/>
            <w:hideMark/>
          </w:tcPr>
          <w:p w14:paraId="2C3A0E4B"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234</w:t>
            </w:r>
          </w:p>
        </w:tc>
        <w:tc>
          <w:tcPr>
            <w:tcW w:w="4872" w:type="dxa"/>
            <w:shd w:val="clear" w:color="auto" w:fill="auto"/>
            <w:hideMark/>
          </w:tcPr>
          <w:p w14:paraId="4A4312DC"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financijske rashode</w:t>
            </w:r>
          </w:p>
        </w:tc>
        <w:tc>
          <w:tcPr>
            <w:tcW w:w="3160" w:type="dxa"/>
            <w:shd w:val="clear" w:color="auto" w:fill="auto"/>
            <w:hideMark/>
          </w:tcPr>
          <w:p w14:paraId="0A3763EF"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1.353,04</w:t>
            </w:r>
          </w:p>
        </w:tc>
      </w:tr>
      <w:tr w:rsidR="003D3041" w:rsidRPr="003D3041" w14:paraId="4BE014FC" w14:textId="77777777" w:rsidTr="003D3041">
        <w:trPr>
          <w:trHeight w:val="276"/>
        </w:trPr>
        <w:tc>
          <w:tcPr>
            <w:tcW w:w="1360" w:type="dxa"/>
            <w:shd w:val="clear" w:color="auto" w:fill="auto"/>
            <w:hideMark/>
          </w:tcPr>
          <w:p w14:paraId="0C3788E4"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237</w:t>
            </w:r>
          </w:p>
        </w:tc>
        <w:tc>
          <w:tcPr>
            <w:tcW w:w="4872" w:type="dxa"/>
            <w:shd w:val="clear" w:color="auto" w:fill="auto"/>
            <w:hideMark/>
          </w:tcPr>
          <w:p w14:paraId="498B3C1D"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naknade građanima i kućanstvima</w:t>
            </w:r>
          </w:p>
        </w:tc>
        <w:tc>
          <w:tcPr>
            <w:tcW w:w="3160" w:type="dxa"/>
            <w:shd w:val="clear" w:color="auto" w:fill="auto"/>
            <w:hideMark/>
          </w:tcPr>
          <w:p w14:paraId="7D8E0198"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54.282,87</w:t>
            </w:r>
          </w:p>
        </w:tc>
      </w:tr>
      <w:tr w:rsidR="003D3041" w:rsidRPr="003D3041" w14:paraId="52588122" w14:textId="77777777" w:rsidTr="003D3041">
        <w:trPr>
          <w:trHeight w:val="276"/>
        </w:trPr>
        <w:tc>
          <w:tcPr>
            <w:tcW w:w="1360" w:type="dxa"/>
            <w:shd w:val="clear" w:color="auto" w:fill="auto"/>
            <w:hideMark/>
          </w:tcPr>
          <w:p w14:paraId="6E91EF9F"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238</w:t>
            </w:r>
          </w:p>
        </w:tc>
        <w:tc>
          <w:tcPr>
            <w:tcW w:w="4872" w:type="dxa"/>
            <w:shd w:val="clear" w:color="auto" w:fill="auto"/>
            <w:hideMark/>
          </w:tcPr>
          <w:p w14:paraId="6FA28C10"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kazne, naknade šteta i kapitalne pomoći</w:t>
            </w:r>
          </w:p>
        </w:tc>
        <w:tc>
          <w:tcPr>
            <w:tcW w:w="3160" w:type="dxa"/>
            <w:shd w:val="clear" w:color="auto" w:fill="auto"/>
            <w:hideMark/>
          </w:tcPr>
          <w:p w14:paraId="49E431D4"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30.382,64</w:t>
            </w:r>
          </w:p>
        </w:tc>
      </w:tr>
      <w:tr w:rsidR="003D3041" w:rsidRPr="003D3041" w14:paraId="39386649" w14:textId="77777777" w:rsidTr="003D3041">
        <w:trPr>
          <w:trHeight w:val="276"/>
        </w:trPr>
        <w:tc>
          <w:tcPr>
            <w:tcW w:w="1360" w:type="dxa"/>
            <w:shd w:val="clear" w:color="auto" w:fill="auto"/>
            <w:hideMark/>
          </w:tcPr>
          <w:p w14:paraId="285EDD81"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239</w:t>
            </w:r>
          </w:p>
        </w:tc>
        <w:tc>
          <w:tcPr>
            <w:tcW w:w="4872" w:type="dxa"/>
            <w:shd w:val="clear" w:color="auto" w:fill="auto"/>
            <w:hideMark/>
          </w:tcPr>
          <w:p w14:paraId="5A6463C5"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Ostale tekuće obveze</w:t>
            </w:r>
          </w:p>
        </w:tc>
        <w:tc>
          <w:tcPr>
            <w:tcW w:w="3160" w:type="dxa"/>
            <w:shd w:val="clear" w:color="auto" w:fill="auto"/>
            <w:hideMark/>
          </w:tcPr>
          <w:p w14:paraId="58546876"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147.972,40</w:t>
            </w:r>
          </w:p>
        </w:tc>
      </w:tr>
      <w:tr w:rsidR="003D3041" w:rsidRPr="003D3041" w14:paraId="5DD94FBD" w14:textId="77777777" w:rsidTr="003D3041">
        <w:trPr>
          <w:trHeight w:val="276"/>
        </w:trPr>
        <w:tc>
          <w:tcPr>
            <w:tcW w:w="1360" w:type="dxa"/>
            <w:shd w:val="clear" w:color="000000" w:fill="FDE9D9"/>
            <w:hideMark/>
          </w:tcPr>
          <w:p w14:paraId="43B8DC2E" w14:textId="77777777" w:rsidR="003D3041" w:rsidRPr="003D3041" w:rsidRDefault="003D3041" w:rsidP="003D3041">
            <w:pPr>
              <w:jc w:val="center"/>
              <w:rPr>
                <w:rFonts w:ascii="Aptos" w:hAnsi="Aptos" w:cs="Arial"/>
                <w:b/>
                <w:bCs/>
                <w:i/>
                <w:iCs/>
                <w:sz w:val="18"/>
                <w:szCs w:val="18"/>
              </w:rPr>
            </w:pPr>
            <w:r w:rsidRPr="003D3041">
              <w:rPr>
                <w:rFonts w:ascii="Aptos" w:hAnsi="Aptos" w:cs="Arial"/>
                <w:b/>
                <w:bCs/>
                <w:i/>
                <w:iCs/>
                <w:sz w:val="18"/>
                <w:szCs w:val="18"/>
              </w:rPr>
              <w:t>23</w:t>
            </w:r>
          </w:p>
        </w:tc>
        <w:tc>
          <w:tcPr>
            <w:tcW w:w="4872" w:type="dxa"/>
            <w:shd w:val="clear" w:color="000000" w:fill="FDE9D9"/>
            <w:hideMark/>
          </w:tcPr>
          <w:p w14:paraId="25E3AC80" w14:textId="77777777" w:rsidR="003D3041" w:rsidRPr="003D3041" w:rsidRDefault="003D3041" w:rsidP="003D3041">
            <w:pPr>
              <w:jc w:val="both"/>
              <w:rPr>
                <w:rFonts w:ascii="Aptos" w:hAnsi="Aptos" w:cs="Arial"/>
                <w:b/>
                <w:bCs/>
                <w:i/>
                <w:iCs/>
                <w:sz w:val="18"/>
                <w:szCs w:val="18"/>
              </w:rPr>
            </w:pPr>
            <w:r w:rsidRPr="003D3041">
              <w:rPr>
                <w:rFonts w:ascii="Aptos" w:hAnsi="Aptos" w:cs="Arial"/>
                <w:b/>
                <w:bCs/>
                <w:i/>
                <w:iCs/>
                <w:sz w:val="18"/>
                <w:szCs w:val="18"/>
              </w:rPr>
              <w:t>Obveze za rashode poslovanja</w:t>
            </w:r>
          </w:p>
        </w:tc>
        <w:tc>
          <w:tcPr>
            <w:tcW w:w="3160" w:type="dxa"/>
            <w:shd w:val="clear" w:color="000000" w:fill="FDE9D9"/>
            <w:hideMark/>
          </w:tcPr>
          <w:p w14:paraId="2A5D7189" w14:textId="77777777" w:rsidR="003D3041" w:rsidRPr="003D3041" w:rsidRDefault="003D3041" w:rsidP="003D3041">
            <w:pPr>
              <w:jc w:val="right"/>
              <w:rPr>
                <w:rFonts w:ascii="Aptos" w:hAnsi="Aptos" w:cs="Arial"/>
                <w:b/>
                <w:bCs/>
                <w:i/>
                <w:iCs/>
                <w:sz w:val="18"/>
                <w:szCs w:val="18"/>
              </w:rPr>
            </w:pPr>
            <w:r w:rsidRPr="003D3041">
              <w:rPr>
                <w:rFonts w:ascii="Aptos" w:hAnsi="Aptos" w:cs="Arial"/>
                <w:b/>
                <w:bCs/>
                <w:i/>
                <w:iCs/>
                <w:sz w:val="18"/>
                <w:szCs w:val="18"/>
              </w:rPr>
              <w:t>683.590,02</w:t>
            </w:r>
          </w:p>
        </w:tc>
      </w:tr>
      <w:tr w:rsidR="003D3041" w:rsidRPr="003D3041" w14:paraId="543D62BC" w14:textId="77777777" w:rsidTr="003D3041">
        <w:trPr>
          <w:trHeight w:val="276"/>
        </w:trPr>
        <w:tc>
          <w:tcPr>
            <w:tcW w:w="1360" w:type="dxa"/>
            <w:shd w:val="clear" w:color="auto" w:fill="auto"/>
            <w:hideMark/>
          </w:tcPr>
          <w:p w14:paraId="209CA7DE"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lastRenderedPageBreak/>
              <w:t>242</w:t>
            </w:r>
          </w:p>
        </w:tc>
        <w:tc>
          <w:tcPr>
            <w:tcW w:w="4872" w:type="dxa"/>
            <w:shd w:val="clear" w:color="auto" w:fill="auto"/>
            <w:hideMark/>
          </w:tcPr>
          <w:p w14:paraId="34E0A60C"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nabavu proizvedene dugotrajne imovine</w:t>
            </w:r>
          </w:p>
        </w:tc>
        <w:tc>
          <w:tcPr>
            <w:tcW w:w="3160" w:type="dxa"/>
            <w:shd w:val="clear" w:color="auto" w:fill="auto"/>
            <w:hideMark/>
          </w:tcPr>
          <w:p w14:paraId="294EEF41"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98.179,82</w:t>
            </w:r>
          </w:p>
        </w:tc>
      </w:tr>
      <w:tr w:rsidR="003D3041" w:rsidRPr="003D3041" w14:paraId="5A163C65" w14:textId="77777777" w:rsidTr="003D3041">
        <w:trPr>
          <w:trHeight w:val="276"/>
        </w:trPr>
        <w:tc>
          <w:tcPr>
            <w:tcW w:w="1360" w:type="dxa"/>
            <w:shd w:val="clear" w:color="auto" w:fill="auto"/>
            <w:hideMark/>
          </w:tcPr>
          <w:p w14:paraId="5201A322"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245</w:t>
            </w:r>
          </w:p>
        </w:tc>
        <w:tc>
          <w:tcPr>
            <w:tcW w:w="4872" w:type="dxa"/>
            <w:shd w:val="clear" w:color="auto" w:fill="auto"/>
            <w:hideMark/>
          </w:tcPr>
          <w:p w14:paraId="23DC2B37"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dodatna ulaganja na nefinancijskoj imovini</w:t>
            </w:r>
          </w:p>
        </w:tc>
        <w:tc>
          <w:tcPr>
            <w:tcW w:w="3160" w:type="dxa"/>
            <w:shd w:val="clear" w:color="auto" w:fill="auto"/>
            <w:hideMark/>
          </w:tcPr>
          <w:p w14:paraId="5072AAFB"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19.221,65</w:t>
            </w:r>
          </w:p>
        </w:tc>
      </w:tr>
      <w:tr w:rsidR="003D3041" w:rsidRPr="003D3041" w14:paraId="7B702233" w14:textId="77777777" w:rsidTr="003D3041">
        <w:trPr>
          <w:trHeight w:val="276"/>
        </w:trPr>
        <w:tc>
          <w:tcPr>
            <w:tcW w:w="1360" w:type="dxa"/>
            <w:shd w:val="clear" w:color="000000" w:fill="FDE9D9"/>
            <w:hideMark/>
          </w:tcPr>
          <w:p w14:paraId="2217C709" w14:textId="77777777" w:rsidR="003D3041" w:rsidRPr="003D3041" w:rsidRDefault="003D3041" w:rsidP="003D3041">
            <w:pPr>
              <w:jc w:val="center"/>
              <w:rPr>
                <w:rFonts w:ascii="Aptos" w:hAnsi="Aptos" w:cs="Arial"/>
                <w:b/>
                <w:bCs/>
                <w:i/>
                <w:iCs/>
                <w:sz w:val="18"/>
                <w:szCs w:val="18"/>
              </w:rPr>
            </w:pPr>
            <w:r w:rsidRPr="003D3041">
              <w:rPr>
                <w:rFonts w:ascii="Aptos" w:hAnsi="Aptos" w:cs="Arial"/>
                <w:b/>
                <w:bCs/>
                <w:i/>
                <w:iCs/>
                <w:sz w:val="18"/>
                <w:szCs w:val="18"/>
              </w:rPr>
              <w:t>24</w:t>
            </w:r>
          </w:p>
        </w:tc>
        <w:tc>
          <w:tcPr>
            <w:tcW w:w="4872" w:type="dxa"/>
            <w:shd w:val="clear" w:color="000000" w:fill="FDE9D9"/>
            <w:hideMark/>
          </w:tcPr>
          <w:p w14:paraId="053B5DAB" w14:textId="77777777" w:rsidR="003D3041" w:rsidRPr="003D3041" w:rsidRDefault="003D3041" w:rsidP="003D3041">
            <w:pPr>
              <w:jc w:val="both"/>
              <w:rPr>
                <w:rFonts w:ascii="Aptos" w:hAnsi="Aptos" w:cs="Arial"/>
                <w:b/>
                <w:bCs/>
                <w:i/>
                <w:iCs/>
                <w:sz w:val="18"/>
                <w:szCs w:val="18"/>
              </w:rPr>
            </w:pPr>
            <w:r w:rsidRPr="003D3041">
              <w:rPr>
                <w:rFonts w:ascii="Aptos" w:hAnsi="Aptos" w:cs="Arial"/>
                <w:b/>
                <w:bCs/>
                <w:i/>
                <w:iCs/>
                <w:sz w:val="18"/>
                <w:szCs w:val="18"/>
              </w:rPr>
              <w:t>Obveze za nabavu nefinancijske imovine</w:t>
            </w:r>
          </w:p>
        </w:tc>
        <w:tc>
          <w:tcPr>
            <w:tcW w:w="3160" w:type="dxa"/>
            <w:shd w:val="clear" w:color="000000" w:fill="FDE9D9"/>
            <w:hideMark/>
          </w:tcPr>
          <w:p w14:paraId="518521D7" w14:textId="77777777" w:rsidR="003D3041" w:rsidRPr="003D3041" w:rsidRDefault="003D3041" w:rsidP="003D3041">
            <w:pPr>
              <w:jc w:val="right"/>
              <w:rPr>
                <w:rFonts w:ascii="Aptos" w:hAnsi="Aptos" w:cs="Arial"/>
                <w:b/>
                <w:bCs/>
                <w:i/>
                <w:iCs/>
                <w:sz w:val="18"/>
                <w:szCs w:val="18"/>
              </w:rPr>
            </w:pPr>
            <w:r w:rsidRPr="003D3041">
              <w:rPr>
                <w:rFonts w:ascii="Aptos" w:hAnsi="Aptos" w:cs="Arial"/>
                <w:b/>
                <w:bCs/>
                <w:i/>
                <w:iCs/>
                <w:sz w:val="18"/>
                <w:szCs w:val="18"/>
              </w:rPr>
              <w:t>117.401,47</w:t>
            </w:r>
          </w:p>
        </w:tc>
      </w:tr>
      <w:tr w:rsidR="003D3041" w:rsidRPr="003D3041" w14:paraId="19D27FFE" w14:textId="77777777" w:rsidTr="003D3041">
        <w:trPr>
          <w:trHeight w:val="276"/>
        </w:trPr>
        <w:tc>
          <w:tcPr>
            <w:tcW w:w="1360" w:type="dxa"/>
            <w:shd w:val="clear" w:color="auto" w:fill="auto"/>
            <w:hideMark/>
          </w:tcPr>
          <w:p w14:paraId="17DCEA5A"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264</w:t>
            </w:r>
          </w:p>
        </w:tc>
        <w:tc>
          <w:tcPr>
            <w:tcW w:w="4872" w:type="dxa"/>
            <w:shd w:val="clear" w:color="auto" w:fill="auto"/>
            <w:hideMark/>
          </w:tcPr>
          <w:p w14:paraId="111740DC"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Obveze za kredite i zajmove od kreditnih institucija</w:t>
            </w:r>
          </w:p>
        </w:tc>
        <w:tc>
          <w:tcPr>
            <w:tcW w:w="3160" w:type="dxa"/>
            <w:shd w:val="clear" w:color="auto" w:fill="auto"/>
            <w:hideMark/>
          </w:tcPr>
          <w:p w14:paraId="441FFA4F" w14:textId="652B0F20" w:rsidR="003D3041" w:rsidRPr="003D3041" w:rsidRDefault="003D3041" w:rsidP="003D3041">
            <w:pPr>
              <w:jc w:val="right"/>
              <w:rPr>
                <w:rFonts w:ascii="Aptos" w:hAnsi="Aptos" w:cs="Arial"/>
                <w:sz w:val="18"/>
                <w:szCs w:val="18"/>
              </w:rPr>
            </w:pPr>
            <w:r w:rsidRPr="003D3041">
              <w:rPr>
                <w:rFonts w:ascii="Aptos" w:hAnsi="Aptos" w:cs="Arial"/>
                <w:sz w:val="18"/>
                <w:szCs w:val="18"/>
              </w:rPr>
              <w:t>390.199,9</w:t>
            </w:r>
            <w:r w:rsidR="005B7B0B">
              <w:rPr>
                <w:rFonts w:ascii="Aptos" w:hAnsi="Aptos" w:cs="Arial"/>
                <w:sz w:val="18"/>
                <w:szCs w:val="18"/>
              </w:rPr>
              <w:t>4</w:t>
            </w:r>
          </w:p>
        </w:tc>
      </w:tr>
      <w:tr w:rsidR="003D3041" w:rsidRPr="003D3041" w14:paraId="35C4C707" w14:textId="77777777" w:rsidTr="003D3041">
        <w:trPr>
          <w:trHeight w:val="276"/>
        </w:trPr>
        <w:tc>
          <w:tcPr>
            <w:tcW w:w="1360" w:type="dxa"/>
            <w:shd w:val="clear" w:color="000000" w:fill="FDE9D9"/>
            <w:hideMark/>
          </w:tcPr>
          <w:p w14:paraId="035903C4" w14:textId="77777777" w:rsidR="003D3041" w:rsidRPr="003D3041" w:rsidRDefault="003D3041" w:rsidP="003D3041">
            <w:pPr>
              <w:jc w:val="center"/>
              <w:rPr>
                <w:rFonts w:ascii="Aptos" w:hAnsi="Aptos" w:cs="Arial"/>
                <w:b/>
                <w:bCs/>
                <w:i/>
                <w:iCs/>
                <w:sz w:val="18"/>
                <w:szCs w:val="18"/>
              </w:rPr>
            </w:pPr>
            <w:r w:rsidRPr="003D3041">
              <w:rPr>
                <w:rFonts w:ascii="Aptos" w:hAnsi="Aptos" w:cs="Arial"/>
                <w:b/>
                <w:bCs/>
                <w:i/>
                <w:iCs/>
                <w:sz w:val="18"/>
                <w:szCs w:val="18"/>
              </w:rPr>
              <w:t>26</w:t>
            </w:r>
          </w:p>
        </w:tc>
        <w:tc>
          <w:tcPr>
            <w:tcW w:w="4872" w:type="dxa"/>
            <w:shd w:val="clear" w:color="000000" w:fill="FDE9D9"/>
            <w:hideMark/>
          </w:tcPr>
          <w:p w14:paraId="08F21620" w14:textId="77777777" w:rsidR="003D3041" w:rsidRPr="003D3041" w:rsidRDefault="003D3041" w:rsidP="003D3041">
            <w:pPr>
              <w:jc w:val="both"/>
              <w:rPr>
                <w:rFonts w:ascii="Aptos" w:hAnsi="Aptos" w:cs="Arial"/>
                <w:b/>
                <w:bCs/>
                <w:i/>
                <w:iCs/>
                <w:sz w:val="18"/>
                <w:szCs w:val="18"/>
              </w:rPr>
            </w:pPr>
            <w:r w:rsidRPr="003D3041">
              <w:rPr>
                <w:rFonts w:ascii="Aptos" w:hAnsi="Aptos" w:cs="Arial"/>
                <w:b/>
                <w:bCs/>
                <w:i/>
                <w:iCs/>
                <w:sz w:val="18"/>
                <w:szCs w:val="18"/>
              </w:rPr>
              <w:t>Obveze za kredite i zajmove</w:t>
            </w:r>
          </w:p>
        </w:tc>
        <w:tc>
          <w:tcPr>
            <w:tcW w:w="3160" w:type="dxa"/>
            <w:shd w:val="clear" w:color="000000" w:fill="FDE9D9"/>
            <w:hideMark/>
          </w:tcPr>
          <w:p w14:paraId="4A478BA3" w14:textId="7C9BF439" w:rsidR="003D3041" w:rsidRPr="003D3041" w:rsidRDefault="003D3041" w:rsidP="003D3041">
            <w:pPr>
              <w:jc w:val="right"/>
              <w:rPr>
                <w:rFonts w:ascii="Aptos" w:hAnsi="Aptos" w:cs="Arial"/>
                <w:b/>
                <w:bCs/>
                <w:i/>
                <w:iCs/>
                <w:sz w:val="18"/>
                <w:szCs w:val="18"/>
              </w:rPr>
            </w:pPr>
            <w:r w:rsidRPr="003D3041">
              <w:rPr>
                <w:rFonts w:ascii="Aptos" w:hAnsi="Aptos" w:cs="Arial"/>
                <w:b/>
                <w:bCs/>
                <w:i/>
                <w:iCs/>
                <w:sz w:val="18"/>
                <w:szCs w:val="18"/>
              </w:rPr>
              <w:t>390.199,9</w:t>
            </w:r>
            <w:r w:rsidR="005B7B0B">
              <w:rPr>
                <w:rFonts w:ascii="Aptos" w:hAnsi="Aptos" w:cs="Arial"/>
                <w:b/>
                <w:bCs/>
                <w:i/>
                <w:iCs/>
                <w:sz w:val="18"/>
                <w:szCs w:val="18"/>
              </w:rPr>
              <w:t>4</w:t>
            </w:r>
          </w:p>
        </w:tc>
      </w:tr>
      <w:tr w:rsidR="003D3041" w:rsidRPr="003D3041" w14:paraId="20949200" w14:textId="77777777" w:rsidTr="003D3041">
        <w:trPr>
          <w:trHeight w:val="276"/>
        </w:trPr>
        <w:tc>
          <w:tcPr>
            <w:tcW w:w="1360" w:type="dxa"/>
            <w:shd w:val="clear" w:color="auto" w:fill="auto"/>
            <w:hideMark/>
          </w:tcPr>
          <w:p w14:paraId="59143713" w14:textId="77777777" w:rsidR="003D3041" w:rsidRPr="003D3041" w:rsidRDefault="003D3041" w:rsidP="003D3041">
            <w:pPr>
              <w:jc w:val="center"/>
              <w:rPr>
                <w:rFonts w:ascii="Aptos" w:hAnsi="Aptos" w:cs="Arial"/>
                <w:sz w:val="18"/>
                <w:szCs w:val="18"/>
              </w:rPr>
            </w:pPr>
            <w:r w:rsidRPr="003D3041">
              <w:rPr>
                <w:rFonts w:ascii="Aptos" w:hAnsi="Aptos" w:cs="Arial"/>
                <w:sz w:val="18"/>
                <w:szCs w:val="18"/>
              </w:rPr>
              <w:t>291</w:t>
            </w:r>
          </w:p>
        </w:tc>
        <w:tc>
          <w:tcPr>
            <w:tcW w:w="4872" w:type="dxa"/>
            <w:shd w:val="clear" w:color="auto" w:fill="auto"/>
            <w:hideMark/>
          </w:tcPr>
          <w:p w14:paraId="7791C471" w14:textId="77777777" w:rsidR="003D3041" w:rsidRPr="003D3041" w:rsidRDefault="003D3041" w:rsidP="003D3041">
            <w:pPr>
              <w:jc w:val="both"/>
              <w:rPr>
                <w:rFonts w:ascii="Aptos" w:hAnsi="Aptos" w:cs="Arial"/>
                <w:sz w:val="18"/>
                <w:szCs w:val="18"/>
              </w:rPr>
            </w:pPr>
            <w:r w:rsidRPr="003D3041">
              <w:rPr>
                <w:rFonts w:ascii="Aptos" w:hAnsi="Aptos" w:cs="Arial"/>
                <w:sz w:val="18"/>
                <w:szCs w:val="18"/>
              </w:rPr>
              <w:t>Odgođeno plaćanje rashoda</w:t>
            </w:r>
          </w:p>
        </w:tc>
        <w:tc>
          <w:tcPr>
            <w:tcW w:w="3160" w:type="dxa"/>
            <w:shd w:val="clear" w:color="auto" w:fill="auto"/>
            <w:hideMark/>
          </w:tcPr>
          <w:p w14:paraId="2E2A1C83" w14:textId="77777777" w:rsidR="003D3041" w:rsidRPr="003D3041" w:rsidRDefault="003D3041" w:rsidP="003D3041">
            <w:pPr>
              <w:jc w:val="right"/>
              <w:rPr>
                <w:rFonts w:ascii="Aptos" w:hAnsi="Aptos" w:cs="Arial"/>
                <w:sz w:val="18"/>
                <w:szCs w:val="18"/>
              </w:rPr>
            </w:pPr>
            <w:r w:rsidRPr="003D3041">
              <w:rPr>
                <w:rFonts w:ascii="Aptos" w:hAnsi="Aptos" w:cs="Arial"/>
                <w:sz w:val="18"/>
                <w:szCs w:val="18"/>
              </w:rPr>
              <w:t>9.083,18</w:t>
            </w:r>
          </w:p>
        </w:tc>
      </w:tr>
      <w:tr w:rsidR="003D3041" w:rsidRPr="003D3041" w14:paraId="70A86954" w14:textId="77777777" w:rsidTr="003D3041">
        <w:trPr>
          <w:trHeight w:val="276"/>
        </w:trPr>
        <w:tc>
          <w:tcPr>
            <w:tcW w:w="1360" w:type="dxa"/>
            <w:shd w:val="clear" w:color="000000" w:fill="FDE9D9"/>
            <w:hideMark/>
          </w:tcPr>
          <w:p w14:paraId="78BB687C" w14:textId="77777777" w:rsidR="003D3041" w:rsidRPr="003D3041" w:rsidRDefault="003D3041" w:rsidP="003D3041">
            <w:pPr>
              <w:jc w:val="center"/>
              <w:rPr>
                <w:rFonts w:ascii="Aptos" w:hAnsi="Aptos" w:cs="Arial"/>
                <w:b/>
                <w:bCs/>
                <w:i/>
                <w:iCs/>
                <w:sz w:val="18"/>
                <w:szCs w:val="18"/>
              </w:rPr>
            </w:pPr>
            <w:r w:rsidRPr="003D3041">
              <w:rPr>
                <w:rFonts w:ascii="Aptos" w:hAnsi="Aptos" w:cs="Arial"/>
                <w:b/>
                <w:bCs/>
                <w:i/>
                <w:iCs/>
                <w:sz w:val="18"/>
                <w:szCs w:val="18"/>
              </w:rPr>
              <w:t>29</w:t>
            </w:r>
          </w:p>
        </w:tc>
        <w:tc>
          <w:tcPr>
            <w:tcW w:w="4872" w:type="dxa"/>
            <w:shd w:val="clear" w:color="000000" w:fill="FDE9D9"/>
            <w:hideMark/>
          </w:tcPr>
          <w:p w14:paraId="48A46604" w14:textId="77777777" w:rsidR="003D3041" w:rsidRPr="003D3041" w:rsidRDefault="003D3041" w:rsidP="003D3041">
            <w:pPr>
              <w:jc w:val="both"/>
              <w:rPr>
                <w:rFonts w:ascii="Aptos" w:hAnsi="Aptos" w:cs="Arial"/>
                <w:b/>
                <w:bCs/>
                <w:i/>
                <w:iCs/>
                <w:sz w:val="18"/>
                <w:szCs w:val="18"/>
              </w:rPr>
            </w:pPr>
            <w:r w:rsidRPr="003D3041">
              <w:rPr>
                <w:rFonts w:ascii="Aptos" w:hAnsi="Aptos" w:cs="Arial"/>
                <w:b/>
                <w:bCs/>
                <w:i/>
                <w:iCs/>
                <w:sz w:val="18"/>
                <w:szCs w:val="18"/>
              </w:rPr>
              <w:t>Odgođeno plaćanje rashoda i prihodi budućih razdoblja</w:t>
            </w:r>
          </w:p>
        </w:tc>
        <w:tc>
          <w:tcPr>
            <w:tcW w:w="3160" w:type="dxa"/>
            <w:shd w:val="clear" w:color="000000" w:fill="FDE9D9"/>
            <w:hideMark/>
          </w:tcPr>
          <w:p w14:paraId="65EA82CA" w14:textId="77777777" w:rsidR="003D3041" w:rsidRPr="003D3041" w:rsidRDefault="003D3041" w:rsidP="003D3041">
            <w:pPr>
              <w:jc w:val="right"/>
              <w:rPr>
                <w:rFonts w:ascii="Aptos" w:hAnsi="Aptos" w:cs="Arial"/>
                <w:b/>
                <w:bCs/>
                <w:i/>
                <w:iCs/>
                <w:sz w:val="18"/>
                <w:szCs w:val="18"/>
              </w:rPr>
            </w:pPr>
            <w:r w:rsidRPr="003D3041">
              <w:rPr>
                <w:rFonts w:ascii="Aptos" w:hAnsi="Aptos" w:cs="Arial"/>
                <w:b/>
                <w:bCs/>
                <w:i/>
                <w:iCs/>
                <w:sz w:val="18"/>
                <w:szCs w:val="18"/>
              </w:rPr>
              <w:t>9.083,18</w:t>
            </w:r>
          </w:p>
        </w:tc>
      </w:tr>
      <w:tr w:rsidR="003D3041" w:rsidRPr="003D3041" w14:paraId="70A65F74" w14:textId="77777777" w:rsidTr="003D3041">
        <w:trPr>
          <w:trHeight w:val="276"/>
        </w:trPr>
        <w:tc>
          <w:tcPr>
            <w:tcW w:w="1360" w:type="dxa"/>
            <w:shd w:val="clear" w:color="000000" w:fill="FCD5B4"/>
            <w:hideMark/>
          </w:tcPr>
          <w:p w14:paraId="07DDB594" w14:textId="77777777" w:rsidR="003D3041" w:rsidRPr="003D3041" w:rsidRDefault="003D3041" w:rsidP="003D3041">
            <w:pPr>
              <w:jc w:val="center"/>
              <w:rPr>
                <w:rFonts w:ascii="Aptos" w:hAnsi="Aptos" w:cs="Arial"/>
                <w:b/>
                <w:bCs/>
                <w:sz w:val="18"/>
                <w:szCs w:val="18"/>
              </w:rPr>
            </w:pPr>
            <w:r w:rsidRPr="003D3041">
              <w:rPr>
                <w:rFonts w:ascii="Aptos" w:hAnsi="Aptos" w:cs="Arial"/>
                <w:b/>
                <w:bCs/>
                <w:sz w:val="18"/>
                <w:szCs w:val="18"/>
              </w:rPr>
              <w:t> </w:t>
            </w:r>
          </w:p>
        </w:tc>
        <w:tc>
          <w:tcPr>
            <w:tcW w:w="4872" w:type="dxa"/>
            <w:shd w:val="clear" w:color="000000" w:fill="FCD5B4"/>
            <w:hideMark/>
          </w:tcPr>
          <w:p w14:paraId="5F8B9E32" w14:textId="77777777" w:rsidR="003D3041" w:rsidRPr="003D3041" w:rsidRDefault="003D3041" w:rsidP="003D3041">
            <w:pPr>
              <w:rPr>
                <w:rFonts w:ascii="Aptos" w:hAnsi="Aptos" w:cs="Arial"/>
                <w:b/>
                <w:bCs/>
                <w:sz w:val="18"/>
                <w:szCs w:val="18"/>
              </w:rPr>
            </w:pPr>
            <w:r w:rsidRPr="003D3041">
              <w:rPr>
                <w:rFonts w:ascii="Aptos" w:hAnsi="Aptos" w:cs="Arial"/>
                <w:b/>
                <w:bCs/>
                <w:sz w:val="18"/>
                <w:szCs w:val="18"/>
              </w:rPr>
              <w:t>UKUPNO OBVEZE (23+24+26+29)</w:t>
            </w:r>
          </w:p>
        </w:tc>
        <w:tc>
          <w:tcPr>
            <w:tcW w:w="3160" w:type="dxa"/>
            <w:shd w:val="clear" w:color="000000" w:fill="FCD5B4"/>
            <w:hideMark/>
          </w:tcPr>
          <w:p w14:paraId="0A40BD2F" w14:textId="2F119141" w:rsidR="003D3041" w:rsidRPr="003D3041" w:rsidRDefault="003D3041" w:rsidP="003D3041">
            <w:pPr>
              <w:jc w:val="right"/>
              <w:rPr>
                <w:rFonts w:ascii="Aptos" w:hAnsi="Aptos" w:cs="Arial"/>
                <w:b/>
                <w:bCs/>
                <w:sz w:val="18"/>
                <w:szCs w:val="18"/>
              </w:rPr>
            </w:pPr>
            <w:r w:rsidRPr="003D3041">
              <w:rPr>
                <w:rFonts w:ascii="Aptos" w:hAnsi="Aptos" w:cs="Arial"/>
                <w:b/>
                <w:bCs/>
                <w:sz w:val="18"/>
                <w:szCs w:val="18"/>
              </w:rPr>
              <w:t>1.200.274,6</w:t>
            </w:r>
            <w:r w:rsidR="005B7B0B">
              <w:rPr>
                <w:rFonts w:ascii="Aptos" w:hAnsi="Aptos" w:cs="Arial"/>
                <w:b/>
                <w:bCs/>
                <w:sz w:val="18"/>
                <w:szCs w:val="18"/>
              </w:rPr>
              <w:t>1</w:t>
            </w:r>
          </w:p>
        </w:tc>
      </w:tr>
    </w:tbl>
    <w:p w14:paraId="180EE3CE" w14:textId="2E97A7A9" w:rsidR="005924CC" w:rsidRPr="00F61B8D" w:rsidRDefault="002E51BE" w:rsidP="003D3041">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S</w:t>
      </w:r>
      <w:r w:rsidR="004274A4" w:rsidRPr="00F61B8D">
        <w:rPr>
          <w:rFonts w:ascii="Aptos" w:hAnsi="Aptos" w:cstheme="minorHAnsi"/>
          <w:sz w:val="22"/>
          <w:szCs w:val="22"/>
        </w:rPr>
        <w:t>ve  kratkoročne obveze podmirene su</w:t>
      </w:r>
      <w:r w:rsidR="005924CC" w:rsidRPr="00F61B8D">
        <w:rPr>
          <w:rFonts w:ascii="Aptos" w:hAnsi="Aptos" w:cstheme="minorHAnsi"/>
          <w:sz w:val="22"/>
          <w:szCs w:val="22"/>
        </w:rPr>
        <w:t xml:space="preserve"> u skladu s dosp</w:t>
      </w:r>
      <w:r w:rsidR="009652B7" w:rsidRPr="00F61B8D">
        <w:rPr>
          <w:rFonts w:ascii="Aptos" w:hAnsi="Aptos" w:cstheme="minorHAnsi"/>
          <w:sz w:val="22"/>
          <w:szCs w:val="22"/>
        </w:rPr>
        <w:t>i</w:t>
      </w:r>
      <w:r w:rsidR="005924CC" w:rsidRPr="00F61B8D">
        <w:rPr>
          <w:rFonts w:ascii="Aptos" w:hAnsi="Aptos" w:cstheme="minorHAnsi"/>
          <w:sz w:val="22"/>
          <w:szCs w:val="22"/>
        </w:rPr>
        <w:t xml:space="preserve">jećem </w:t>
      </w:r>
      <w:proofErr w:type="spellStart"/>
      <w:r w:rsidR="005924CC" w:rsidRPr="00F61B8D">
        <w:rPr>
          <w:rFonts w:ascii="Aptos" w:hAnsi="Aptos" w:cstheme="minorHAnsi"/>
          <w:sz w:val="22"/>
          <w:szCs w:val="22"/>
        </w:rPr>
        <w:t>odnsono</w:t>
      </w:r>
      <w:proofErr w:type="spellEnd"/>
      <w:r w:rsidR="005924CC" w:rsidRPr="00F61B8D">
        <w:rPr>
          <w:rFonts w:ascii="Aptos" w:hAnsi="Aptos" w:cstheme="minorHAnsi"/>
          <w:sz w:val="22"/>
          <w:szCs w:val="22"/>
        </w:rPr>
        <w:t xml:space="preserve"> </w:t>
      </w:r>
      <w:r w:rsidR="004274A4" w:rsidRPr="00F61B8D">
        <w:rPr>
          <w:rFonts w:ascii="Aptos" w:hAnsi="Aptos" w:cstheme="minorHAnsi"/>
          <w:sz w:val="22"/>
          <w:szCs w:val="22"/>
        </w:rPr>
        <w:t>tijekom siječnja 202</w:t>
      </w:r>
      <w:r w:rsidR="003D3041">
        <w:rPr>
          <w:rFonts w:ascii="Aptos" w:hAnsi="Aptos" w:cstheme="minorHAnsi"/>
          <w:sz w:val="22"/>
          <w:szCs w:val="22"/>
        </w:rPr>
        <w:t>4</w:t>
      </w:r>
      <w:r w:rsidR="004274A4" w:rsidRPr="00F61B8D">
        <w:rPr>
          <w:rFonts w:ascii="Aptos" w:hAnsi="Aptos" w:cstheme="minorHAnsi"/>
          <w:sz w:val="22"/>
          <w:szCs w:val="22"/>
        </w:rPr>
        <w:t xml:space="preserve">. godine. </w:t>
      </w:r>
    </w:p>
    <w:p w14:paraId="067F99D0" w14:textId="2A8EC372" w:rsidR="00091F63" w:rsidRPr="00F61B8D" w:rsidRDefault="00AB1870" w:rsidP="00AB1870">
      <w:pPr>
        <w:pBdr>
          <w:top w:val="single" w:sz="4" w:space="1" w:color="auto"/>
          <w:left w:val="single" w:sz="4" w:space="4"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922</w:t>
      </w:r>
      <w:r w:rsidR="00091F63" w:rsidRPr="00F61B8D">
        <w:rPr>
          <w:rFonts w:ascii="Aptos" w:hAnsi="Aptos" w:cstheme="minorHAnsi"/>
          <w:b/>
          <w:sz w:val="22"/>
          <w:szCs w:val="22"/>
        </w:rPr>
        <w:t xml:space="preserve"> – </w:t>
      </w:r>
      <w:r w:rsidRPr="00F61B8D">
        <w:rPr>
          <w:rFonts w:ascii="Aptos" w:hAnsi="Aptos" w:cstheme="minorHAnsi"/>
          <w:b/>
          <w:sz w:val="22"/>
          <w:szCs w:val="22"/>
        </w:rPr>
        <w:t>VIŠAK/MANJAK PRIHODA</w:t>
      </w:r>
    </w:p>
    <w:p w14:paraId="67CBCD0A" w14:textId="276F10EA" w:rsidR="005C3EC0" w:rsidRPr="003D3041" w:rsidRDefault="005C3EC0" w:rsidP="003D3041">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sidR="00F41919" w:rsidRPr="003D3041">
        <w:rPr>
          <w:rFonts w:ascii="Aptos" w:hAnsi="Aptos" w:cs="Calibri"/>
          <w:b/>
          <w:bCs/>
          <w:color w:val="000000"/>
          <w:sz w:val="22"/>
          <w:szCs w:val="22"/>
        </w:rPr>
        <w:t>2</w:t>
      </w:r>
      <w:r w:rsidR="005B7B0B">
        <w:rPr>
          <w:rFonts w:ascii="Aptos" w:hAnsi="Aptos" w:cs="Calibri"/>
          <w:b/>
          <w:bCs/>
          <w:color w:val="000000"/>
          <w:sz w:val="22"/>
          <w:szCs w:val="22"/>
        </w:rPr>
        <w:t>6</w:t>
      </w:r>
      <w:r w:rsidRPr="00F61B8D">
        <w:rPr>
          <w:rFonts w:ascii="Aptos" w:hAnsi="Aptos" w:cs="Calibri"/>
          <w:b/>
          <w:bCs/>
          <w:color w:val="000000"/>
          <w:sz w:val="22"/>
          <w:szCs w:val="22"/>
        </w:rPr>
        <w:t>.</w:t>
      </w:r>
    </w:p>
    <w:p w14:paraId="744D5D81" w14:textId="52A8A32A" w:rsidR="00683B6B" w:rsidRPr="000B07C6" w:rsidRDefault="00091F63" w:rsidP="00AB1870">
      <w:pPr>
        <w:spacing w:before="60" w:after="60"/>
        <w:ind w:left="-425" w:right="-380" w:firstLine="284"/>
        <w:jc w:val="both"/>
        <w:rPr>
          <w:rFonts w:ascii="Aptos" w:hAnsi="Aptos" w:cstheme="minorHAnsi"/>
          <w:color w:val="FF0000"/>
          <w:sz w:val="22"/>
          <w:szCs w:val="22"/>
        </w:rPr>
      </w:pPr>
      <w:r w:rsidRPr="005B7B0B">
        <w:rPr>
          <w:rFonts w:ascii="Aptos" w:hAnsi="Aptos" w:cstheme="minorHAnsi"/>
          <w:sz w:val="22"/>
          <w:szCs w:val="22"/>
        </w:rPr>
        <w:t xml:space="preserve">U ovom izvještajnom razdoblju evidentiran je </w:t>
      </w:r>
      <w:r w:rsidR="00C35D3E" w:rsidRPr="005B7B0B">
        <w:rPr>
          <w:rFonts w:ascii="Aptos" w:hAnsi="Aptos" w:cstheme="minorHAnsi"/>
          <w:sz w:val="22"/>
          <w:szCs w:val="22"/>
        </w:rPr>
        <w:t xml:space="preserve">višak </w:t>
      </w:r>
      <w:r w:rsidRPr="005B7B0B">
        <w:rPr>
          <w:rFonts w:ascii="Aptos" w:hAnsi="Aptos" w:cstheme="minorHAnsi"/>
          <w:sz w:val="22"/>
          <w:szCs w:val="22"/>
        </w:rPr>
        <w:t>prihoda</w:t>
      </w:r>
      <w:r w:rsidR="005E1D80" w:rsidRPr="005B7B0B">
        <w:rPr>
          <w:rFonts w:ascii="Aptos" w:hAnsi="Aptos" w:cstheme="minorHAnsi"/>
          <w:sz w:val="22"/>
          <w:szCs w:val="22"/>
        </w:rPr>
        <w:t xml:space="preserve"> u iznosu od </w:t>
      </w:r>
      <w:r w:rsidR="005B7B0B">
        <w:rPr>
          <w:rFonts w:ascii="Aptos" w:hAnsi="Aptos" w:cstheme="minorHAnsi"/>
          <w:sz w:val="22"/>
          <w:szCs w:val="22"/>
        </w:rPr>
        <w:t>6.355.656,74 €</w:t>
      </w:r>
      <w:r w:rsidR="00AB1870" w:rsidRPr="005B7B0B">
        <w:rPr>
          <w:rFonts w:ascii="Aptos" w:hAnsi="Aptos" w:cstheme="minorHAnsi"/>
          <w:sz w:val="22"/>
          <w:szCs w:val="22"/>
        </w:rPr>
        <w:t>,</w:t>
      </w:r>
      <w:r w:rsidR="00E43E8C" w:rsidRPr="005B7B0B">
        <w:rPr>
          <w:rFonts w:ascii="Aptos" w:hAnsi="Aptos" w:cstheme="minorHAnsi"/>
          <w:sz w:val="22"/>
          <w:szCs w:val="22"/>
        </w:rPr>
        <w:t xml:space="preserve"> </w:t>
      </w:r>
      <w:r w:rsidR="00AB1870" w:rsidRPr="005B7B0B">
        <w:rPr>
          <w:rFonts w:ascii="Aptos" w:hAnsi="Aptos" w:cstheme="minorHAnsi"/>
          <w:sz w:val="22"/>
          <w:szCs w:val="22"/>
        </w:rPr>
        <w:t>pri čemu je ostvaren</w:t>
      </w:r>
      <w:r w:rsidR="00E43E8C" w:rsidRPr="005B7B0B">
        <w:rPr>
          <w:rFonts w:ascii="Aptos" w:hAnsi="Aptos" w:cstheme="minorHAnsi"/>
          <w:sz w:val="22"/>
          <w:szCs w:val="22"/>
        </w:rPr>
        <w:t xml:space="preserve"> višak</w:t>
      </w:r>
      <w:r w:rsidR="005E1D80" w:rsidRPr="005B7B0B">
        <w:rPr>
          <w:rFonts w:ascii="Aptos" w:hAnsi="Aptos" w:cstheme="minorHAnsi"/>
          <w:sz w:val="22"/>
          <w:szCs w:val="22"/>
        </w:rPr>
        <w:t xml:space="preserve"> prihoda</w:t>
      </w:r>
      <w:r w:rsidR="00E43E8C" w:rsidRPr="005B7B0B">
        <w:rPr>
          <w:rFonts w:ascii="Aptos" w:hAnsi="Aptos" w:cstheme="minorHAnsi"/>
          <w:sz w:val="22"/>
          <w:szCs w:val="22"/>
        </w:rPr>
        <w:t xml:space="preserve"> poslovanja </w:t>
      </w:r>
      <w:r w:rsidR="00AB1870" w:rsidRPr="005B7B0B">
        <w:rPr>
          <w:rFonts w:ascii="Aptos" w:hAnsi="Aptos" w:cstheme="minorHAnsi"/>
          <w:sz w:val="22"/>
          <w:szCs w:val="22"/>
        </w:rPr>
        <w:t>u iznosu od</w:t>
      </w:r>
      <w:r w:rsidR="00E43E8C" w:rsidRPr="005B7B0B">
        <w:rPr>
          <w:rFonts w:ascii="Aptos" w:hAnsi="Aptos" w:cstheme="minorHAnsi"/>
          <w:sz w:val="22"/>
          <w:szCs w:val="22"/>
        </w:rPr>
        <w:t xml:space="preserve"> </w:t>
      </w:r>
      <w:r w:rsidR="005B7B0B">
        <w:rPr>
          <w:rFonts w:ascii="Aptos" w:hAnsi="Aptos" w:cstheme="minorHAnsi"/>
          <w:sz w:val="22"/>
          <w:szCs w:val="22"/>
        </w:rPr>
        <w:t>6.147.863,05 €</w:t>
      </w:r>
      <w:r w:rsidR="00E43E8C" w:rsidRPr="005B7B0B">
        <w:rPr>
          <w:rFonts w:ascii="Aptos" w:hAnsi="Aptos" w:cstheme="minorHAnsi"/>
          <w:sz w:val="22"/>
          <w:szCs w:val="22"/>
        </w:rPr>
        <w:t xml:space="preserve">, </w:t>
      </w:r>
      <w:r w:rsidR="005B7B0B">
        <w:rPr>
          <w:rFonts w:ascii="Aptos" w:hAnsi="Aptos" w:cstheme="minorHAnsi"/>
          <w:sz w:val="22"/>
          <w:szCs w:val="22"/>
        </w:rPr>
        <w:t>višak</w:t>
      </w:r>
      <w:r w:rsidR="00E43E8C" w:rsidRPr="005B7B0B">
        <w:rPr>
          <w:rFonts w:ascii="Aptos" w:hAnsi="Aptos" w:cstheme="minorHAnsi"/>
          <w:sz w:val="22"/>
          <w:szCs w:val="22"/>
        </w:rPr>
        <w:t xml:space="preserve"> prihoda</w:t>
      </w:r>
      <w:r w:rsidR="005E1D80" w:rsidRPr="005B7B0B">
        <w:rPr>
          <w:rFonts w:ascii="Aptos" w:hAnsi="Aptos" w:cstheme="minorHAnsi"/>
          <w:sz w:val="22"/>
          <w:szCs w:val="22"/>
        </w:rPr>
        <w:t xml:space="preserve"> od nefinancijske imovine </w:t>
      </w:r>
      <w:r w:rsidR="00AB1870" w:rsidRPr="005B7B0B">
        <w:rPr>
          <w:rFonts w:ascii="Aptos" w:hAnsi="Aptos" w:cstheme="minorHAnsi"/>
          <w:sz w:val="22"/>
          <w:szCs w:val="22"/>
        </w:rPr>
        <w:t>od</w:t>
      </w:r>
      <w:r w:rsidR="005E1D80" w:rsidRPr="005B7B0B">
        <w:rPr>
          <w:rFonts w:ascii="Aptos" w:hAnsi="Aptos" w:cstheme="minorHAnsi"/>
          <w:sz w:val="22"/>
          <w:szCs w:val="22"/>
        </w:rPr>
        <w:t xml:space="preserve"> </w:t>
      </w:r>
      <w:r w:rsidR="005B7B0B">
        <w:rPr>
          <w:rFonts w:ascii="Aptos" w:hAnsi="Aptos" w:cstheme="minorHAnsi"/>
          <w:sz w:val="22"/>
          <w:szCs w:val="22"/>
        </w:rPr>
        <w:t>398.913,68 €</w:t>
      </w:r>
      <w:r w:rsidR="00E43E8C" w:rsidRPr="005B7B0B">
        <w:rPr>
          <w:rFonts w:ascii="Aptos" w:hAnsi="Aptos" w:cstheme="minorHAnsi"/>
          <w:sz w:val="22"/>
          <w:szCs w:val="22"/>
        </w:rPr>
        <w:t xml:space="preserve"> te </w:t>
      </w:r>
      <w:r w:rsidR="00AB1870" w:rsidRPr="005B7B0B">
        <w:rPr>
          <w:rFonts w:ascii="Aptos" w:hAnsi="Aptos" w:cstheme="minorHAnsi"/>
          <w:sz w:val="22"/>
          <w:szCs w:val="22"/>
        </w:rPr>
        <w:t>manjak</w:t>
      </w:r>
      <w:r w:rsidR="00E43E8C" w:rsidRPr="005B7B0B">
        <w:rPr>
          <w:rFonts w:ascii="Aptos" w:hAnsi="Aptos" w:cstheme="minorHAnsi"/>
          <w:sz w:val="22"/>
          <w:szCs w:val="22"/>
        </w:rPr>
        <w:t xml:space="preserve"> primitaka od fina</w:t>
      </w:r>
      <w:r w:rsidR="005E1D80" w:rsidRPr="005B7B0B">
        <w:rPr>
          <w:rFonts w:ascii="Aptos" w:hAnsi="Aptos" w:cstheme="minorHAnsi"/>
          <w:sz w:val="22"/>
          <w:szCs w:val="22"/>
        </w:rPr>
        <w:t xml:space="preserve">ncijske imovine </w:t>
      </w:r>
      <w:r w:rsidR="00AB1870" w:rsidRPr="005B7B0B">
        <w:rPr>
          <w:rFonts w:ascii="Aptos" w:hAnsi="Aptos" w:cstheme="minorHAnsi"/>
          <w:sz w:val="22"/>
          <w:szCs w:val="22"/>
        </w:rPr>
        <w:t xml:space="preserve">od </w:t>
      </w:r>
      <w:r w:rsidR="005B7B0B">
        <w:rPr>
          <w:rFonts w:ascii="Aptos" w:hAnsi="Aptos" w:cstheme="minorHAnsi"/>
          <w:sz w:val="22"/>
          <w:szCs w:val="22"/>
        </w:rPr>
        <w:t>191.119,99 €</w:t>
      </w:r>
      <w:r w:rsidR="005E1D80" w:rsidRPr="005B7B0B">
        <w:rPr>
          <w:rFonts w:ascii="Aptos" w:hAnsi="Aptos" w:cstheme="minorHAnsi"/>
          <w:sz w:val="22"/>
          <w:szCs w:val="22"/>
        </w:rPr>
        <w:t>.</w:t>
      </w:r>
      <w:r w:rsidR="005E1D80" w:rsidRPr="000B07C6">
        <w:rPr>
          <w:rFonts w:ascii="Aptos" w:hAnsi="Aptos" w:cstheme="minorHAnsi"/>
          <w:color w:val="FF0000"/>
          <w:sz w:val="22"/>
          <w:szCs w:val="22"/>
        </w:rPr>
        <w:t xml:space="preserve"> </w:t>
      </w:r>
      <w:r w:rsidR="003559E2" w:rsidRPr="000B07C6">
        <w:rPr>
          <w:rFonts w:ascii="Aptos" w:hAnsi="Aptos"/>
          <w:b/>
          <w:i/>
          <w:iCs/>
          <w:color w:val="FF0000"/>
          <w:sz w:val="22"/>
          <w:szCs w:val="22"/>
        </w:rPr>
        <w:tab/>
      </w:r>
    </w:p>
    <w:p w14:paraId="5709269B" w14:textId="1A1E4BB5" w:rsidR="003559E2" w:rsidRPr="00F61B8D" w:rsidRDefault="00AB1870" w:rsidP="00AB1870">
      <w:pPr>
        <w:pBdr>
          <w:top w:val="single" w:sz="4" w:space="1" w:color="auto"/>
          <w:left w:val="single" w:sz="4" w:space="4" w:color="auto"/>
          <w:bottom w:val="single" w:sz="4" w:space="1" w:color="auto"/>
          <w:right w:val="single" w:sz="4" w:space="19" w:color="auto"/>
        </w:pBdr>
        <w:spacing w:before="60" w:after="60"/>
        <w:ind w:left="-425"/>
        <w:jc w:val="both"/>
        <w:rPr>
          <w:rFonts w:ascii="Aptos" w:hAnsi="Aptos" w:cstheme="minorHAnsi"/>
          <w:b/>
          <w:sz w:val="22"/>
          <w:szCs w:val="22"/>
        </w:rPr>
      </w:pPr>
      <w:r w:rsidRPr="00F61B8D">
        <w:rPr>
          <w:rFonts w:ascii="Aptos" w:hAnsi="Aptos" w:cstheme="minorHAnsi"/>
          <w:b/>
          <w:sz w:val="22"/>
          <w:szCs w:val="22"/>
        </w:rPr>
        <w:t>ŠIFRA 99</w:t>
      </w:r>
      <w:r w:rsidR="00BE2315" w:rsidRPr="00F61B8D">
        <w:rPr>
          <w:rFonts w:ascii="Aptos" w:hAnsi="Aptos" w:cstheme="minorHAnsi"/>
          <w:b/>
          <w:sz w:val="22"/>
          <w:szCs w:val="22"/>
        </w:rPr>
        <w:t xml:space="preserve">  - IZVANBILANČ</w:t>
      </w:r>
      <w:r w:rsidR="00295FF8" w:rsidRPr="00F61B8D">
        <w:rPr>
          <w:rFonts w:ascii="Aptos" w:hAnsi="Aptos" w:cstheme="minorHAnsi"/>
          <w:b/>
          <w:sz w:val="22"/>
          <w:szCs w:val="22"/>
        </w:rPr>
        <w:t>N</w:t>
      </w:r>
      <w:r w:rsidR="00BE2315" w:rsidRPr="00F61B8D">
        <w:rPr>
          <w:rFonts w:ascii="Aptos" w:hAnsi="Aptos" w:cstheme="minorHAnsi"/>
          <w:b/>
          <w:sz w:val="22"/>
          <w:szCs w:val="22"/>
        </w:rPr>
        <w:t>I ZAPISI</w:t>
      </w:r>
      <w:r w:rsidR="00195F39" w:rsidRPr="00F61B8D">
        <w:rPr>
          <w:rFonts w:ascii="Aptos" w:hAnsi="Aptos" w:cstheme="minorHAnsi"/>
          <w:b/>
          <w:sz w:val="22"/>
          <w:szCs w:val="22"/>
        </w:rPr>
        <w:t xml:space="preserve"> </w:t>
      </w:r>
    </w:p>
    <w:p w14:paraId="28193713" w14:textId="4DDFEA21" w:rsidR="005C3EC0" w:rsidRPr="000B07C6" w:rsidRDefault="005C3EC0" w:rsidP="000B07C6">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sidR="003D3041">
        <w:rPr>
          <w:rFonts w:ascii="Aptos" w:hAnsi="Aptos" w:cs="Calibri"/>
          <w:b/>
          <w:bCs/>
          <w:color w:val="000000"/>
          <w:sz w:val="22"/>
          <w:szCs w:val="22"/>
        </w:rPr>
        <w:t>2</w:t>
      </w:r>
      <w:r w:rsidR="005B7B0B">
        <w:rPr>
          <w:rFonts w:ascii="Aptos" w:hAnsi="Aptos" w:cs="Calibri"/>
          <w:b/>
          <w:bCs/>
          <w:color w:val="000000"/>
          <w:sz w:val="22"/>
          <w:szCs w:val="22"/>
        </w:rPr>
        <w:t>7</w:t>
      </w:r>
      <w:r w:rsidRPr="00F61B8D">
        <w:rPr>
          <w:rFonts w:ascii="Aptos" w:hAnsi="Aptos" w:cs="Calibri"/>
          <w:b/>
          <w:bCs/>
          <w:color w:val="000000"/>
          <w:sz w:val="22"/>
          <w:szCs w:val="22"/>
        </w:rPr>
        <w:t>.</w:t>
      </w:r>
    </w:p>
    <w:p w14:paraId="02CA44B5" w14:textId="4336CB12" w:rsidR="00AB1870" w:rsidRPr="00F61B8D" w:rsidRDefault="00195F39" w:rsidP="00AB1870">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 xml:space="preserve">Sukladno </w:t>
      </w:r>
      <w:r w:rsidR="00AB1870" w:rsidRPr="00F61B8D">
        <w:rPr>
          <w:rFonts w:ascii="Aptos" w:hAnsi="Aptos" w:cstheme="minorHAnsi"/>
          <w:sz w:val="22"/>
          <w:szCs w:val="22"/>
        </w:rPr>
        <w:t xml:space="preserve">odredbama </w:t>
      </w:r>
      <w:r w:rsidRPr="00F61B8D">
        <w:rPr>
          <w:rFonts w:ascii="Aptos" w:hAnsi="Aptos" w:cstheme="minorHAnsi"/>
          <w:sz w:val="22"/>
          <w:szCs w:val="22"/>
        </w:rPr>
        <w:t>Pravilnika o financijskom izvještavanju u proračunskom računovodstvu  propisane su obvezne bilješke uz Bilancu</w:t>
      </w:r>
      <w:r w:rsidR="00AB1870" w:rsidRPr="00F61B8D">
        <w:rPr>
          <w:rFonts w:ascii="Aptos" w:hAnsi="Aptos" w:cstheme="minorHAnsi"/>
          <w:sz w:val="22"/>
          <w:szCs w:val="22"/>
        </w:rPr>
        <w:t>, kako slijedi:</w:t>
      </w:r>
    </w:p>
    <w:p w14:paraId="2EA92191" w14:textId="673F95B1" w:rsidR="00AB1870" w:rsidRPr="00F61B8D" w:rsidRDefault="00AB1870" w:rsidP="00AB1870">
      <w:pPr>
        <w:spacing w:before="60" w:after="60"/>
        <w:ind w:left="-425" w:right="-380" w:firstLine="284"/>
        <w:jc w:val="both"/>
        <w:rPr>
          <w:rFonts w:ascii="Aptos" w:hAnsi="Aptos" w:cstheme="minorHAnsi"/>
          <w:sz w:val="22"/>
          <w:szCs w:val="22"/>
        </w:rPr>
      </w:pPr>
      <w:r w:rsidRPr="00F61B8D">
        <w:rPr>
          <w:rFonts w:ascii="Aptos" w:hAnsi="Aptos" w:cstheme="minorHAnsi"/>
          <w:bCs/>
          <w:sz w:val="22"/>
          <w:szCs w:val="22"/>
          <w:u w:val="single"/>
        </w:rPr>
        <w:t>1. Popis ugovornih odnosa i slično koji uz ispunjenje određenih uvjeta, mogu postati obveza ili imovina (dana kreditna pisma, hipoteke i slično)</w:t>
      </w:r>
    </w:p>
    <w:tbl>
      <w:tblPr>
        <w:tblW w:w="9634" w:type="dxa"/>
        <w:tblInd w:w="-426" w:type="dxa"/>
        <w:tblLook w:val="04A0" w:firstRow="1" w:lastRow="0" w:firstColumn="1" w:lastColumn="0" w:noHBand="0" w:noVBand="1"/>
      </w:tblPr>
      <w:tblGrid>
        <w:gridCol w:w="842"/>
        <w:gridCol w:w="1973"/>
        <w:gridCol w:w="2434"/>
        <w:gridCol w:w="1275"/>
        <w:gridCol w:w="1557"/>
        <w:gridCol w:w="1553"/>
      </w:tblGrid>
      <w:tr w:rsidR="00AB1870" w:rsidRPr="003D3041" w14:paraId="76EFAFFD" w14:textId="77777777" w:rsidTr="000B07C6">
        <w:trPr>
          <w:cantSplit/>
          <w:trHeight w:val="23"/>
        </w:trPr>
        <w:tc>
          <w:tcPr>
            <w:tcW w:w="842" w:type="dxa"/>
            <w:shd w:val="clear" w:color="auto" w:fill="F2F2F2" w:themeFill="background1" w:themeFillShade="F2"/>
            <w:vAlign w:val="center"/>
            <w:hideMark/>
          </w:tcPr>
          <w:p w14:paraId="6BA5C954"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RBR</w:t>
            </w:r>
          </w:p>
        </w:tc>
        <w:tc>
          <w:tcPr>
            <w:tcW w:w="1973" w:type="dxa"/>
            <w:shd w:val="clear" w:color="auto" w:fill="F2F2F2" w:themeFill="background1" w:themeFillShade="F2"/>
            <w:vAlign w:val="center"/>
            <w:hideMark/>
          </w:tcPr>
          <w:p w14:paraId="52299666"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 xml:space="preserve"> PRIMATELJ JAMSTVA</w:t>
            </w:r>
          </w:p>
        </w:tc>
        <w:tc>
          <w:tcPr>
            <w:tcW w:w="2434" w:type="dxa"/>
            <w:shd w:val="clear" w:color="auto" w:fill="F2F2F2" w:themeFill="background1" w:themeFillShade="F2"/>
            <w:vAlign w:val="center"/>
            <w:hideMark/>
          </w:tcPr>
          <w:p w14:paraId="207B9CB3"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SVRHA JAMSTVA</w:t>
            </w:r>
          </w:p>
        </w:tc>
        <w:tc>
          <w:tcPr>
            <w:tcW w:w="1275" w:type="dxa"/>
            <w:shd w:val="clear" w:color="auto" w:fill="F2F2F2" w:themeFill="background1" w:themeFillShade="F2"/>
            <w:vAlign w:val="center"/>
            <w:hideMark/>
          </w:tcPr>
          <w:p w14:paraId="41374A1B"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DATUM IZDAVANJA</w:t>
            </w:r>
          </w:p>
        </w:tc>
        <w:tc>
          <w:tcPr>
            <w:tcW w:w="1557" w:type="dxa"/>
            <w:shd w:val="clear" w:color="auto" w:fill="F2F2F2" w:themeFill="background1" w:themeFillShade="F2"/>
            <w:vAlign w:val="center"/>
            <w:hideMark/>
          </w:tcPr>
          <w:p w14:paraId="0122C7CD"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 xml:space="preserve">VRSTA INSTRUMENTA </w:t>
            </w:r>
          </w:p>
        </w:tc>
        <w:tc>
          <w:tcPr>
            <w:tcW w:w="1553" w:type="dxa"/>
            <w:shd w:val="clear" w:color="auto" w:fill="F2F2F2" w:themeFill="background1" w:themeFillShade="F2"/>
            <w:vAlign w:val="center"/>
            <w:hideMark/>
          </w:tcPr>
          <w:p w14:paraId="2E57BCB8" w14:textId="77777777" w:rsidR="00AB1870" w:rsidRPr="003D3041" w:rsidRDefault="00AB1870" w:rsidP="000734A6">
            <w:pPr>
              <w:jc w:val="center"/>
              <w:rPr>
                <w:rFonts w:ascii="Aptos" w:hAnsi="Aptos" w:cs="Calibri"/>
                <w:b/>
                <w:bCs/>
                <w:sz w:val="18"/>
                <w:szCs w:val="18"/>
              </w:rPr>
            </w:pPr>
            <w:r w:rsidRPr="003D3041">
              <w:rPr>
                <w:rFonts w:ascii="Aptos" w:hAnsi="Aptos" w:cs="Calibri"/>
                <w:b/>
                <w:bCs/>
                <w:sz w:val="18"/>
                <w:szCs w:val="18"/>
              </w:rPr>
              <w:t>IZNOS</w:t>
            </w:r>
          </w:p>
        </w:tc>
      </w:tr>
      <w:tr w:rsidR="00AB1870" w:rsidRPr="003D3041" w14:paraId="506B9C9B" w14:textId="77777777" w:rsidTr="000B07C6">
        <w:trPr>
          <w:cantSplit/>
          <w:trHeight w:val="227"/>
        </w:trPr>
        <w:tc>
          <w:tcPr>
            <w:tcW w:w="842" w:type="dxa"/>
            <w:shd w:val="clear" w:color="auto" w:fill="auto"/>
            <w:vAlign w:val="center"/>
            <w:hideMark/>
          </w:tcPr>
          <w:p w14:paraId="643F7DBF"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1.</w:t>
            </w:r>
          </w:p>
        </w:tc>
        <w:tc>
          <w:tcPr>
            <w:tcW w:w="1973" w:type="dxa"/>
            <w:shd w:val="clear" w:color="auto" w:fill="auto"/>
            <w:vAlign w:val="center"/>
            <w:hideMark/>
          </w:tcPr>
          <w:p w14:paraId="72C80224" w14:textId="77777777" w:rsidR="00AB1870" w:rsidRPr="003D3041" w:rsidRDefault="00AB1870" w:rsidP="000734A6">
            <w:pPr>
              <w:rPr>
                <w:rFonts w:ascii="Aptos" w:hAnsi="Aptos" w:cs="Calibri"/>
                <w:sz w:val="18"/>
                <w:szCs w:val="18"/>
              </w:rPr>
            </w:pPr>
            <w:r w:rsidRPr="003D3041">
              <w:rPr>
                <w:rFonts w:ascii="Aptos" w:hAnsi="Aptos" w:cs="Calibri"/>
                <w:sz w:val="18"/>
                <w:szCs w:val="18"/>
              </w:rPr>
              <w:t>HEP opskrba d.o.o. Zagreb</w:t>
            </w:r>
          </w:p>
        </w:tc>
        <w:tc>
          <w:tcPr>
            <w:tcW w:w="2434" w:type="dxa"/>
            <w:shd w:val="clear" w:color="auto" w:fill="auto"/>
            <w:vAlign w:val="center"/>
            <w:hideMark/>
          </w:tcPr>
          <w:p w14:paraId="7E0725A5"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Ugovor o opskrbi el. energijom povlaštenog kupca</w:t>
            </w:r>
          </w:p>
        </w:tc>
        <w:tc>
          <w:tcPr>
            <w:tcW w:w="1275" w:type="dxa"/>
            <w:shd w:val="clear" w:color="auto" w:fill="auto"/>
            <w:vAlign w:val="center"/>
            <w:hideMark/>
          </w:tcPr>
          <w:p w14:paraId="733C33D5"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16.11.2009.</w:t>
            </w:r>
          </w:p>
        </w:tc>
        <w:tc>
          <w:tcPr>
            <w:tcW w:w="1557" w:type="dxa"/>
            <w:shd w:val="clear" w:color="auto" w:fill="auto"/>
            <w:vAlign w:val="center"/>
            <w:hideMark/>
          </w:tcPr>
          <w:p w14:paraId="679D6D2F" w14:textId="77777777" w:rsidR="00AB1870" w:rsidRPr="003D3041" w:rsidRDefault="00AB1870" w:rsidP="000734A6">
            <w:pPr>
              <w:rPr>
                <w:rFonts w:ascii="Aptos" w:hAnsi="Aptos" w:cs="Calibri"/>
                <w:sz w:val="18"/>
                <w:szCs w:val="18"/>
              </w:rPr>
            </w:pPr>
            <w:r w:rsidRPr="003D3041">
              <w:rPr>
                <w:rFonts w:ascii="Aptos" w:hAnsi="Aptos" w:cs="Calibri"/>
                <w:sz w:val="18"/>
                <w:szCs w:val="18"/>
              </w:rPr>
              <w:t>Bjanko zadužnica</w:t>
            </w:r>
          </w:p>
        </w:tc>
        <w:tc>
          <w:tcPr>
            <w:tcW w:w="1553" w:type="dxa"/>
            <w:shd w:val="clear" w:color="auto" w:fill="auto"/>
            <w:vAlign w:val="center"/>
            <w:hideMark/>
          </w:tcPr>
          <w:p w14:paraId="1D729931" w14:textId="4B43E776" w:rsidR="00AB1870" w:rsidRPr="003D3041" w:rsidRDefault="000B07C6" w:rsidP="000734A6">
            <w:pPr>
              <w:jc w:val="right"/>
              <w:rPr>
                <w:rFonts w:ascii="Aptos" w:hAnsi="Aptos" w:cs="Calibri"/>
                <w:sz w:val="18"/>
                <w:szCs w:val="18"/>
              </w:rPr>
            </w:pPr>
            <w:r w:rsidRPr="003D3041">
              <w:rPr>
                <w:rFonts w:ascii="Aptos" w:hAnsi="Aptos" w:cs="Calibri"/>
                <w:sz w:val="18"/>
                <w:szCs w:val="18"/>
              </w:rPr>
              <w:t>13.272,28 €</w:t>
            </w:r>
          </w:p>
        </w:tc>
      </w:tr>
      <w:tr w:rsidR="00AB1870" w:rsidRPr="003D3041" w14:paraId="30FDCBAE" w14:textId="77777777" w:rsidTr="000B07C6">
        <w:trPr>
          <w:cantSplit/>
          <w:trHeight w:val="227"/>
        </w:trPr>
        <w:tc>
          <w:tcPr>
            <w:tcW w:w="842" w:type="dxa"/>
            <w:shd w:val="clear" w:color="auto" w:fill="auto"/>
            <w:vAlign w:val="center"/>
            <w:hideMark/>
          </w:tcPr>
          <w:p w14:paraId="78DD7CFB" w14:textId="0E388921" w:rsidR="00AB1870" w:rsidRPr="003D3041" w:rsidRDefault="000B07C6" w:rsidP="000734A6">
            <w:pPr>
              <w:jc w:val="center"/>
              <w:rPr>
                <w:rFonts w:ascii="Aptos" w:hAnsi="Aptos" w:cs="Calibri"/>
                <w:sz w:val="18"/>
                <w:szCs w:val="18"/>
              </w:rPr>
            </w:pPr>
            <w:r w:rsidRPr="003D3041">
              <w:rPr>
                <w:rFonts w:ascii="Aptos" w:hAnsi="Aptos" w:cs="Calibri"/>
                <w:sz w:val="18"/>
                <w:szCs w:val="18"/>
              </w:rPr>
              <w:t>2</w:t>
            </w:r>
            <w:r w:rsidR="00AB1870" w:rsidRPr="003D3041">
              <w:rPr>
                <w:rFonts w:ascii="Aptos" w:hAnsi="Aptos" w:cs="Calibri"/>
                <w:sz w:val="18"/>
                <w:szCs w:val="18"/>
              </w:rPr>
              <w:t>.</w:t>
            </w:r>
          </w:p>
        </w:tc>
        <w:tc>
          <w:tcPr>
            <w:tcW w:w="1973" w:type="dxa"/>
            <w:shd w:val="clear" w:color="auto" w:fill="auto"/>
            <w:vAlign w:val="center"/>
            <w:hideMark/>
          </w:tcPr>
          <w:p w14:paraId="64109C0C" w14:textId="77777777" w:rsidR="00AB1870" w:rsidRPr="003D3041" w:rsidRDefault="00AB1870" w:rsidP="000734A6">
            <w:pPr>
              <w:rPr>
                <w:rFonts w:ascii="Aptos" w:hAnsi="Aptos" w:cs="Calibri"/>
                <w:sz w:val="18"/>
                <w:szCs w:val="18"/>
              </w:rPr>
            </w:pPr>
            <w:r w:rsidRPr="003D3041">
              <w:rPr>
                <w:rFonts w:ascii="Aptos" w:hAnsi="Aptos" w:cs="Calibri"/>
                <w:sz w:val="18"/>
                <w:szCs w:val="18"/>
              </w:rPr>
              <w:t>INA d.d. Zagreb</w:t>
            </w:r>
          </w:p>
        </w:tc>
        <w:tc>
          <w:tcPr>
            <w:tcW w:w="2434" w:type="dxa"/>
            <w:shd w:val="clear" w:color="auto" w:fill="auto"/>
            <w:vAlign w:val="center"/>
            <w:hideMark/>
          </w:tcPr>
          <w:p w14:paraId="6C3F63BB"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Ugovor o korištenju kreditne INA kartice</w:t>
            </w:r>
          </w:p>
        </w:tc>
        <w:tc>
          <w:tcPr>
            <w:tcW w:w="1275" w:type="dxa"/>
            <w:shd w:val="clear" w:color="auto" w:fill="auto"/>
            <w:vAlign w:val="center"/>
            <w:hideMark/>
          </w:tcPr>
          <w:p w14:paraId="56E1E1F0"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11.06.2013.</w:t>
            </w:r>
          </w:p>
        </w:tc>
        <w:tc>
          <w:tcPr>
            <w:tcW w:w="1557" w:type="dxa"/>
            <w:shd w:val="clear" w:color="auto" w:fill="auto"/>
            <w:vAlign w:val="center"/>
            <w:hideMark/>
          </w:tcPr>
          <w:p w14:paraId="32A58855" w14:textId="77777777" w:rsidR="00AB1870" w:rsidRPr="003D3041" w:rsidRDefault="00AB1870" w:rsidP="000734A6">
            <w:pPr>
              <w:rPr>
                <w:rFonts w:ascii="Aptos" w:hAnsi="Aptos" w:cs="Calibri"/>
                <w:sz w:val="18"/>
                <w:szCs w:val="18"/>
              </w:rPr>
            </w:pPr>
            <w:r w:rsidRPr="003D3041">
              <w:rPr>
                <w:rFonts w:ascii="Aptos" w:hAnsi="Aptos" w:cs="Calibri"/>
                <w:sz w:val="18"/>
                <w:szCs w:val="18"/>
              </w:rPr>
              <w:t>Bjanko zadužnica</w:t>
            </w:r>
            <w:r w:rsidRPr="003D3041">
              <w:rPr>
                <w:rFonts w:ascii="Aptos" w:hAnsi="Aptos" w:cs="Calibri"/>
                <w:sz w:val="18"/>
                <w:szCs w:val="18"/>
              </w:rPr>
              <w:br/>
              <w:t>OV-5421/2013 od 11.06.2013.</w:t>
            </w:r>
          </w:p>
        </w:tc>
        <w:tc>
          <w:tcPr>
            <w:tcW w:w="1553" w:type="dxa"/>
            <w:shd w:val="clear" w:color="auto" w:fill="auto"/>
            <w:vAlign w:val="center"/>
            <w:hideMark/>
          </w:tcPr>
          <w:p w14:paraId="136BFE0C" w14:textId="52AE90CE" w:rsidR="00AB1870" w:rsidRPr="003D3041" w:rsidRDefault="000B07C6" w:rsidP="000734A6">
            <w:pPr>
              <w:jc w:val="right"/>
              <w:rPr>
                <w:rFonts w:ascii="Aptos" w:hAnsi="Aptos" w:cs="Calibri"/>
                <w:sz w:val="18"/>
                <w:szCs w:val="18"/>
              </w:rPr>
            </w:pPr>
            <w:r w:rsidRPr="003D3041">
              <w:rPr>
                <w:rFonts w:ascii="Aptos" w:hAnsi="Aptos" w:cs="Calibri"/>
                <w:sz w:val="18"/>
                <w:szCs w:val="18"/>
              </w:rPr>
              <w:t>6.636,14 €</w:t>
            </w:r>
          </w:p>
        </w:tc>
      </w:tr>
      <w:tr w:rsidR="00AB1870" w:rsidRPr="003D3041" w14:paraId="3E95220A" w14:textId="77777777" w:rsidTr="000B07C6">
        <w:trPr>
          <w:cantSplit/>
          <w:trHeight w:val="227"/>
        </w:trPr>
        <w:tc>
          <w:tcPr>
            <w:tcW w:w="842" w:type="dxa"/>
            <w:shd w:val="clear" w:color="auto" w:fill="auto"/>
            <w:vAlign w:val="center"/>
            <w:hideMark/>
          </w:tcPr>
          <w:p w14:paraId="137BAA54" w14:textId="3563C7BE" w:rsidR="00AB1870" w:rsidRPr="003D3041" w:rsidRDefault="000B07C6" w:rsidP="000734A6">
            <w:pPr>
              <w:jc w:val="center"/>
              <w:rPr>
                <w:rFonts w:ascii="Aptos" w:hAnsi="Aptos" w:cs="Calibri"/>
                <w:sz w:val="18"/>
                <w:szCs w:val="18"/>
              </w:rPr>
            </w:pPr>
            <w:r w:rsidRPr="003D3041">
              <w:rPr>
                <w:rFonts w:ascii="Aptos" w:hAnsi="Aptos" w:cs="Calibri"/>
                <w:sz w:val="18"/>
                <w:szCs w:val="18"/>
              </w:rPr>
              <w:t>3</w:t>
            </w:r>
            <w:r w:rsidR="00AB1870" w:rsidRPr="003D3041">
              <w:rPr>
                <w:rFonts w:ascii="Aptos" w:hAnsi="Aptos" w:cs="Calibri"/>
                <w:sz w:val="18"/>
                <w:szCs w:val="18"/>
              </w:rPr>
              <w:t>.</w:t>
            </w:r>
          </w:p>
        </w:tc>
        <w:tc>
          <w:tcPr>
            <w:tcW w:w="1973" w:type="dxa"/>
            <w:shd w:val="clear" w:color="auto" w:fill="auto"/>
            <w:vAlign w:val="center"/>
            <w:hideMark/>
          </w:tcPr>
          <w:p w14:paraId="0A42235F" w14:textId="77777777" w:rsidR="00AB1870" w:rsidRPr="003D3041" w:rsidRDefault="00AB1870" w:rsidP="000734A6">
            <w:pPr>
              <w:rPr>
                <w:rFonts w:ascii="Aptos" w:hAnsi="Aptos" w:cs="Calibri"/>
                <w:sz w:val="18"/>
                <w:szCs w:val="18"/>
              </w:rPr>
            </w:pPr>
            <w:r w:rsidRPr="003D3041">
              <w:rPr>
                <w:rFonts w:ascii="Aptos" w:hAnsi="Aptos" w:cs="Calibri"/>
                <w:sz w:val="18"/>
                <w:szCs w:val="18"/>
              </w:rPr>
              <w:t>Hrvatska banka za obnovu i razvitak</w:t>
            </w:r>
          </w:p>
        </w:tc>
        <w:tc>
          <w:tcPr>
            <w:tcW w:w="2434" w:type="dxa"/>
            <w:shd w:val="clear" w:color="auto" w:fill="auto"/>
            <w:vAlign w:val="center"/>
            <w:hideMark/>
          </w:tcPr>
          <w:p w14:paraId="2653B899"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Ugovor o kreditu HBOR-GKD Dobra</w:t>
            </w:r>
          </w:p>
        </w:tc>
        <w:tc>
          <w:tcPr>
            <w:tcW w:w="1275" w:type="dxa"/>
            <w:shd w:val="clear" w:color="auto" w:fill="auto"/>
            <w:vAlign w:val="center"/>
            <w:hideMark/>
          </w:tcPr>
          <w:p w14:paraId="74DD8B30" w14:textId="77777777" w:rsidR="00AB1870" w:rsidRPr="003D3041" w:rsidRDefault="00AB1870" w:rsidP="000734A6">
            <w:pPr>
              <w:jc w:val="center"/>
              <w:rPr>
                <w:rFonts w:ascii="Aptos" w:hAnsi="Aptos" w:cs="Calibri"/>
                <w:sz w:val="18"/>
                <w:szCs w:val="18"/>
              </w:rPr>
            </w:pPr>
            <w:r w:rsidRPr="003D3041">
              <w:rPr>
                <w:rFonts w:ascii="Aptos" w:hAnsi="Aptos" w:cs="Calibri"/>
                <w:sz w:val="18"/>
                <w:szCs w:val="18"/>
              </w:rPr>
              <w:t>29.08.2017.</w:t>
            </w:r>
          </w:p>
        </w:tc>
        <w:tc>
          <w:tcPr>
            <w:tcW w:w="1557" w:type="dxa"/>
            <w:shd w:val="clear" w:color="auto" w:fill="auto"/>
            <w:vAlign w:val="center"/>
            <w:hideMark/>
          </w:tcPr>
          <w:p w14:paraId="7231A6D2" w14:textId="77777777" w:rsidR="00AB1870" w:rsidRPr="003D3041" w:rsidRDefault="00AB1870" w:rsidP="000734A6">
            <w:pPr>
              <w:rPr>
                <w:rFonts w:ascii="Aptos" w:hAnsi="Aptos" w:cs="Calibri"/>
                <w:sz w:val="18"/>
                <w:szCs w:val="18"/>
              </w:rPr>
            </w:pPr>
            <w:r w:rsidRPr="003D3041">
              <w:rPr>
                <w:rFonts w:ascii="Aptos" w:hAnsi="Aptos" w:cs="Calibri"/>
                <w:sz w:val="18"/>
                <w:szCs w:val="18"/>
              </w:rPr>
              <w:t>Jamstvo</w:t>
            </w:r>
          </w:p>
        </w:tc>
        <w:tc>
          <w:tcPr>
            <w:tcW w:w="1553" w:type="dxa"/>
            <w:shd w:val="clear" w:color="auto" w:fill="auto"/>
            <w:vAlign w:val="center"/>
            <w:hideMark/>
          </w:tcPr>
          <w:p w14:paraId="75D9C630" w14:textId="3B1215E7" w:rsidR="00AB1870" w:rsidRPr="003D3041" w:rsidRDefault="000B07C6" w:rsidP="000734A6">
            <w:pPr>
              <w:jc w:val="right"/>
              <w:rPr>
                <w:rFonts w:ascii="Aptos" w:hAnsi="Aptos" w:cs="Calibri"/>
                <w:sz w:val="18"/>
                <w:szCs w:val="18"/>
              </w:rPr>
            </w:pPr>
            <w:r w:rsidRPr="003D3041">
              <w:rPr>
                <w:rFonts w:ascii="Aptos" w:hAnsi="Aptos" w:cs="Calibri"/>
                <w:sz w:val="18"/>
                <w:szCs w:val="18"/>
              </w:rPr>
              <w:t>189.537,20 €</w:t>
            </w:r>
          </w:p>
        </w:tc>
      </w:tr>
      <w:tr w:rsidR="000B07C6" w:rsidRPr="003D3041" w14:paraId="0989492F" w14:textId="77777777" w:rsidTr="000B07C6">
        <w:trPr>
          <w:cantSplit/>
          <w:trHeight w:val="227"/>
        </w:trPr>
        <w:tc>
          <w:tcPr>
            <w:tcW w:w="842" w:type="dxa"/>
            <w:shd w:val="clear" w:color="auto" w:fill="auto"/>
            <w:vAlign w:val="center"/>
            <w:hideMark/>
          </w:tcPr>
          <w:p w14:paraId="6002F6D4" w14:textId="5B53CF03" w:rsidR="000B07C6" w:rsidRPr="003D3041" w:rsidRDefault="000B07C6" w:rsidP="000B07C6">
            <w:pPr>
              <w:jc w:val="center"/>
              <w:rPr>
                <w:rFonts w:ascii="Aptos" w:hAnsi="Aptos" w:cs="Calibri"/>
                <w:sz w:val="18"/>
                <w:szCs w:val="18"/>
              </w:rPr>
            </w:pPr>
            <w:r w:rsidRPr="003D3041">
              <w:rPr>
                <w:rFonts w:ascii="Aptos" w:hAnsi="Aptos" w:cs="Calibri"/>
                <w:sz w:val="18"/>
                <w:szCs w:val="18"/>
              </w:rPr>
              <w:t>4.</w:t>
            </w:r>
          </w:p>
        </w:tc>
        <w:tc>
          <w:tcPr>
            <w:tcW w:w="1973" w:type="dxa"/>
            <w:shd w:val="clear" w:color="auto" w:fill="auto"/>
            <w:vAlign w:val="center"/>
            <w:hideMark/>
          </w:tcPr>
          <w:p w14:paraId="6CC41D13" w14:textId="77777777" w:rsidR="000B07C6" w:rsidRPr="003D3041" w:rsidRDefault="000B07C6" w:rsidP="000B07C6">
            <w:pPr>
              <w:rPr>
                <w:rFonts w:ascii="Aptos" w:hAnsi="Aptos" w:cs="Calibri"/>
                <w:sz w:val="18"/>
                <w:szCs w:val="18"/>
              </w:rPr>
            </w:pPr>
            <w:r w:rsidRPr="003D3041">
              <w:rPr>
                <w:rFonts w:ascii="Aptos" w:hAnsi="Aptos" w:cs="Calibri"/>
                <w:sz w:val="18"/>
                <w:szCs w:val="18"/>
              </w:rPr>
              <w:t>Hrvatska banka za obnovu i razvitak</w:t>
            </w:r>
          </w:p>
        </w:tc>
        <w:tc>
          <w:tcPr>
            <w:tcW w:w="2434" w:type="dxa"/>
            <w:shd w:val="clear" w:color="auto" w:fill="auto"/>
            <w:vAlign w:val="center"/>
            <w:hideMark/>
          </w:tcPr>
          <w:p w14:paraId="3A9C4316" w14:textId="77777777" w:rsidR="000B07C6" w:rsidRPr="003D3041" w:rsidRDefault="000B07C6" w:rsidP="000B07C6">
            <w:pPr>
              <w:jc w:val="center"/>
              <w:rPr>
                <w:rFonts w:ascii="Aptos" w:hAnsi="Aptos" w:cs="Calibri"/>
                <w:sz w:val="18"/>
                <w:szCs w:val="18"/>
              </w:rPr>
            </w:pPr>
            <w:r w:rsidRPr="003D3041">
              <w:rPr>
                <w:rFonts w:ascii="Aptos" w:hAnsi="Aptos" w:cs="Calibri"/>
                <w:sz w:val="18"/>
                <w:szCs w:val="18"/>
              </w:rPr>
              <w:t>Ugovor o kreditu</w:t>
            </w:r>
            <w:r w:rsidRPr="003D3041">
              <w:rPr>
                <w:rFonts w:ascii="Aptos" w:hAnsi="Aptos" w:cs="Calibri"/>
                <w:sz w:val="18"/>
                <w:szCs w:val="18"/>
              </w:rPr>
              <w:br/>
              <w:t>javna rasvjeta</w:t>
            </w:r>
          </w:p>
        </w:tc>
        <w:tc>
          <w:tcPr>
            <w:tcW w:w="1275" w:type="dxa"/>
            <w:shd w:val="clear" w:color="auto" w:fill="auto"/>
            <w:vAlign w:val="center"/>
            <w:hideMark/>
          </w:tcPr>
          <w:p w14:paraId="17C66D19" w14:textId="77777777" w:rsidR="000B07C6" w:rsidRPr="003D3041" w:rsidRDefault="000B07C6" w:rsidP="000B07C6">
            <w:pPr>
              <w:jc w:val="center"/>
              <w:rPr>
                <w:rFonts w:ascii="Aptos" w:hAnsi="Aptos" w:cs="Calibri"/>
                <w:sz w:val="18"/>
                <w:szCs w:val="18"/>
              </w:rPr>
            </w:pPr>
            <w:r w:rsidRPr="003D3041">
              <w:rPr>
                <w:rFonts w:ascii="Aptos" w:hAnsi="Aptos" w:cs="Calibri"/>
                <w:sz w:val="18"/>
                <w:szCs w:val="18"/>
              </w:rPr>
              <w:t>02.06.2020.</w:t>
            </w:r>
          </w:p>
        </w:tc>
        <w:tc>
          <w:tcPr>
            <w:tcW w:w="1557" w:type="dxa"/>
            <w:shd w:val="clear" w:color="auto" w:fill="auto"/>
            <w:vAlign w:val="center"/>
            <w:hideMark/>
          </w:tcPr>
          <w:p w14:paraId="32542436" w14:textId="77777777" w:rsidR="000B07C6" w:rsidRPr="003D3041" w:rsidRDefault="000B07C6" w:rsidP="000B07C6">
            <w:pPr>
              <w:rPr>
                <w:rFonts w:ascii="Aptos" w:hAnsi="Aptos" w:cs="Calibri"/>
                <w:sz w:val="18"/>
                <w:szCs w:val="18"/>
              </w:rPr>
            </w:pPr>
            <w:r w:rsidRPr="003D3041">
              <w:rPr>
                <w:rFonts w:ascii="Aptos" w:hAnsi="Aptos" w:cs="Calibri"/>
                <w:sz w:val="18"/>
                <w:szCs w:val="18"/>
              </w:rPr>
              <w:t>Zadužnica OV-2899/2020 od 08.06.2020.</w:t>
            </w:r>
          </w:p>
        </w:tc>
        <w:tc>
          <w:tcPr>
            <w:tcW w:w="1553" w:type="dxa"/>
            <w:shd w:val="clear" w:color="auto" w:fill="auto"/>
            <w:vAlign w:val="center"/>
            <w:hideMark/>
          </w:tcPr>
          <w:p w14:paraId="60FDF412" w14:textId="246835C2" w:rsidR="000B07C6" w:rsidRPr="003D3041" w:rsidRDefault="000B07C6" w:rsidP="000B07C6">
            <w:pPr>
              <w:jc w:val="right"/>
              <w:rPr>
                <w:rFonts w:ascii="Aptos" w:hAnsi="Aptos" w:cs="Calibri"/>
                <w:sz w:val="18"/>
                <w:szCs w:val="18"/>
              </w:rPr>
            </w:pPr>
            <w:r w:rsidRPr="003D3041">
              <w:rPr>
                <w:rFonts w:ascii="Aptos" w:hAnsi="Aptos" w:cs="Calibri"/>
                <w:sz w:val="18"/>
                <w:szCs w:val="18"/>
              </w:rPr>
              <w:t>769.792,29 €</w:t>
            </w:r>
          </w:p>
        </w:tc>
      </w:tr>
      <w:tr w:rsidR="000B07C6" w:rsidRPr="003D3041" w14:paraId="2BFD7625" w14:textId="77777777" w:rsidTr="000B07C6">
        <w:trPr>
          <w:cantSplit/>
          <w:trHeight w:val="227"/>
        </w:trPr>
        <w:tc>
          <w:tcPr>
            <w:tcW w:w="842" w:type="dxa"/>
            <w:shd w:val="clear" w:color="auto" w:fill="auto"/>
            <w:vAlign w:val="center"/>
          </w:tcPr>
          <w:p w14:paraId="5928EB6E" w14:textId="3DF30047" w:rsidR="000B07C6" w:rsidRPr="003D3041" w:rsidRDefault="000B07C6" w:rsidP="000B07C6">
            <w:pPr>
              <w:jc w:val="center"/>
              <w:rPr>
                <w:rFonts w:ascii="Aptos" w:hAnsi="Aptos" w:cs="Calibri"/>
                <w:sz w:val="18"/>
                <w:szCs w:val="18"/>
              </w:rPr>
            </w:pPr>
            <w:r w:rsidRPr="003D3041">
              <w:rPr>
                <w:rFonts w:ascii="Aptos" w:hAnsi="Aptos" w:cs="Calibri"/>
                <w:sz w:val="18"/>
                <w:szCs w:val="18"/>
              </w:rPr>
              <w:t>5.</w:t>
            </w:r>
          </w:p>
        </w:tc>
        <w:tc>
          <w:tcPr>
            <w:tcW w:w="1973" w:type="dxa"/>
            <w:shd w:val="clear" w:color="auto" w:fill="auto"/>
            <w:vAlign w:val="center"/>
          </w:tcPr>
          <w:p w14:paraId="11DCD15A" w14:textId="227A47A1" w:rsidR="000B07C6" w:rsidRPr="003D3041" w:rsidRDefault="000B07C6" w:rsidP="000B07C6">
            <w:pPr>
              <w:rPr>
                <w:rFonts w:ascii="Aptos" w:hAnsi="Aptos" w:cs="Calibri"/>
                <w:sz w:val="18"/>
                <w:szCs w:val="18"/>
              </w:rPr>
            </w:pPr>
            <w:r w:rsidRPr="003D3041">
              <w:rPr>
                <w:rFonts w:ascii="Aptos" w:hAnsi="Aptos" w:cs="Calibri"/>
                <w:sz w:val="18"/>
                <w:szCs w:val="18"/>
              </w:rPr>
              <w:t>INA d.d. Kostrena</w:t>
            </w:r>
          </w:p>
        </w:tc>
        <w:tc>
          <w:tcPr>
            <w:tcW w:w="2434" w:type="dxa"/>
            <w:shd w:val="clear" w:color="auto" w:fill="auto"/>
            <w:vAlign w:val="center"/>
          </w:tcPr>
          <w:p w14:paraId="5F581CDF" w14:textId="481AB212" w:rsidR="000B07C6" w:rsidRPr="003D3041" w:rsidRDefault="000B07C6" w:rsidP="000B07C6">
            <w:pPr>
              <w:jc w:val="center"/>
              <w:rPr>
                <w:rFonts w:ascii="Aptos" w:hAnsi="Aptos" w:cs="Calibri"/>
                <w:sz w:val="18"/>
                <w:szCs w:val="18"/>
              </w:rPr>
            </w:pPr>
            <w:r w:rsidRPr="003D3041">
              <w:rPr>
                <w:rFonts w:ascii="Aptos" w:hAnsi="Aptos" w:cs="Calibri"/>
                <w:sz w:val="18"/>
                <w:szCs w:val="18"/>
              </w:rPr>
              <w:t>Korištenje malog spremnika i prodaja UNP</w:t>
            </w:r>
          </w:p>
        </w:tc>
        <w:tc>
          <w:tcPr>
            <w:tcW w:w="1275" w:type="dxa"/>
            <w:shd w:val="clear" w:color="auto" w:fill="auto"/>
            <w:vAlign w:val="center"/>
          </w:tcPr>
          <w:p w14:paraId="5258732C" w14:textId="432E3A6D" w:rsidR="000B07C6" w:rsidRPr="003D3041" w:rsidRDefault="000B07C6" w:rsidP="000B07C6">
            <w:pPr>
              <w:jc w:val="center"/>
              <w:rPr>
                <w:rFonts w:ascii="Aptos" w:hAnsi="Aptos" w:cs="Calibri"/>
                <w:sz w:val="18"/>
                <w:szCs w:val="18"/>
              </w:rPr>
            </w:pPr>
            <w:r w:rsidRPr="003D3041">
              <w:rPr>
                <w:rFonts w:ascii="Aptos" w:hAnsi="Aptos" w:cs="Calibri"/>
                <w:sz w:val="18"/>
                <w:szCs w:val="18"/>
              </w:rPr>
              <w:t>20.02.2023.</w:t>
            </w:r>
          </w:p>
        </w:tc>
        <w:tc>
          <w:tcPr>
            <w:tcW w:w="1557" w:type="dxa"/>
            <w:shd w:val="clear" w:color="auto" w:fill="auto"/>
            <w:vAlign w:val="center"/>
          </w:tcPr>
          <w:p w14:paraId="264748DC" w14:textId="5F8431ED" w:rsidR="000B07C6" w:rsidRPr="003D3041" w:rsidRDefault="000B07C6" w:rsidP="000B07C6">
            <w:pPr>
              <w:rPr>
                <w:rFonts w:ascii="Aptos" w:hAnsi="Aptos" w:cs="Calibri"/>
                <w:sz w:val="18"/>
                <w:szCs w:val="18"/>
              </w:rPr>
            </w:pPr>
            <w:r w:rsidRPr="003D3041">
              <w:rPr>
                <w:rFonts w:ascii="Aptos" w:hAnsi="Aptos" w:cs="Calibri"/>
                <w:sz w:val="18"/>
                <w:szCs w:val="18"/>
              </w:rPr>
              <w:t>Bjanko zadužnica</w:t>
            </w:r>
            <w:r w:rsidRPr="003D3041">
              <w:rPr>
                <w:rFonts w:ascii="Aptos" w:hAnsi="Aptos" w:cs="Calibri"/>
                <w:sz w:val="18"/>
                <w:szCs w:val="18"/>
              </w:rPr>
              <w:br/>
              <w:t>OV-988/2023 od 21.02.2023.</w:t>
            </w:r>
          </w:p>
        </w:tc>
        <w:tc>
          <w:tcPr>
            <w:tcW w:w="1553" w:type="dxa"/>
            <w:shd w:val="clear" w:color="auto" w:fill="auto"/>
            <w:vAlign w:val="center"/>
          </w:tcPr>
          <w:p w14:paraId="17C2ECA7" w14:textId="22C3E8B8" w:rsidR="000B07C6" w:rsidRPr="003D3041" w:rsidRDefault="000B07C6" w:rsidP="000B07C6">
            <w:pPr>
              <w:jc w:val="right"/>
              <w:rPr>
                <w:rFonts w:ascii="Aptos" w:hAnsi="Aptos" w:cs="Calibri"/>
                <w:sz w:val="18"/>
                <w:szCs w:val="18"/>
              </w:rPr>
            </w:pPr>
            <w:r w:rsidRPr="003D3041">
              <w:rPr>
                <w:rFonts w:ascii="Aptos" w:hAnsi="Aptos" w:cs="Calibri"/>
                <w:sz w:val="18"/>
                <w:szCs w:val="18"/>
              </w:rPr>
              <w:t>10.000,00 €</w:t>
            </w:r>
          </w:p>
        </w:tc>
      </w:tr>
      <w:tr w:rsidR="000B07C6" w:rsidRPr="003D3041" w14:paraId="335478E8" w14:textId="77777777" w:rsidTr="000B07C6">
        <w:trPr>
          <w:cantSplit/>
          <w:trHeight w:val="23"/>
        </w:trPr>
        <w:tc>
          <w:tcPr>
            <w:tcW w:w="8081" w:type="dxa"/>
            <w:gridSpan w:val="5"/>
            <w:shd w:val="clear" w:color="auto" w:fill="F2F2F2" w:themeFill="background1" w:themeFillShade="F2"/>
            <w:vAlign w:val="center"/>
            <w:hideMark/>
          </w:tcPr>
          <w:p w14:paraId="426CA0CE" w14:textId="77777777" w:rsidR="000B07C6" w:rsidRPr="003D3041" w:rsidRDefault="000B07C6" w:rsidP="000B07C6">
            <w:pPr>
              <w:jc w:val="right"/>
              <w:rPr>
                <w:rFonts w:ascii="Aptos" w:hAnsi="Aptos" w:cs="Calibri"/>
                <w:b/>
                <w:bCs/>
                <w:sz w:val="18"/>
                <w:szCs w:val="18"/>
              </w:rPr>
            </w:pPr>
            <w:r w:rsidRPr="003D3041">
              <w:rPr>
                <w:rFonts w:ascii="Aptos" w:hAnsi="Aptos" w:cs="Calibri"/>
                <w:b/>
                <w:bCs/>
                <w:sz w:val="18"/>
                <w:szCs w:val="18"/>
              </w:rPr>
              <w:t>UKUPNO</w:t>
            </w:r>
          </w:p>
        </w:tc>
        <w:tc>
          <w:tcPr>
            <w:tcW w:w="1553" w:type="dxa"/>
            <w:shd w:val="clear" w:color="auto" w:fill="F2F2F2" w:themeFill="background1" w:themeFillShade="F2"/>
            <w:vAlign w:val="center"/>
            <w:hideMark/>
          </w:tcPr>
          <w:p w14:paraId="5C61E9D5" w14:textId="3D0CC5BB" w:rsidR="000B07C6" w:rsidRPr="003D3041" w:rsidRDefault="000B07C6" w:rsidP="000B07C6">
            <w:pPr>
              <w:jc w:val="right"/>
              <w:rPr>
                <w:rFonts w:ascii="Aptos" w:hAnsi="Aptos" w:cs="Calibri"/>
                <w:b/>
                <w:bCs/>
                <w:sz w:val="18"/>
                <w:szCs w:val="18"/>
              </w:rPr>
            </w:pPr>
            <w:r w:rsidRPr="003D3041">
              <w:rPr>
                <w:rFonts w:ascii="Aptos" w:hAnsi="Aptos" w:cs="Calibri"/>
                <w:b/>
                <w:bCs/>
                <w:sz w:val="18"/>
                <w:szCs w:val="18"/>
              </w:rPr>
              <w:t>989.237,91 €</w:t>
            </w:r>
          </w:p>
        </w:tc>
      </w:tr>
    </w:tbl>
    <w:p w14:paraId="4C6B914A" w14:textId="469DB3FF" w:rsidR="009743EF" w:rsidRPr="009743EF" w:rsidRDefault="009743EF" w:rsidP="009743EF">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Osim izdanih </w:t>
      </w:r>
      <w:r w:rsidRPr="009743EF">
        <w:rPr>
          <w:rFonts w:ascii="Aptos" w:hAnsi="Aptos" w:cstheme="minorHAnsi"/>
          <w:sz w:val="22"/>
          <w:szCs w:val="22"/>
        </w:rPr>
        <w:t>vrijednosnih papira i drugih financijskih instrumenata</w:t>
      </w:r>
      <w:r>
        <w:rPr>
          <w:rFonts w:ascii="Aptos" w:hAnsi="Aptos" w:cstheme="minorHAnsi"/>
          <w:sz w:val="22"/>
          <w:szCs w:val="22"/>
        </w:rPr>
        <w:t xml:space="preserve">, vodi se evidencija i primljenih </w:t>
      </w:r>
      <w:r w:rsidRPr="009743EF">
        <w:rPr>
          <w:rFonts w:ascii="Aptos" w:hAnsi="Aptos" w:cstheme="minorHAnsi"/>
          <w:sz w:val="22"/>
          <w:szCs w:val="22"/>
        </w:rPr>
        <w:t>instrument</w:t>
      </w:r>
      <w:r>
        <w:rPr>
          <w:rFonts w:ascii="Aptos" w:hAnsi="Aptos" w:cstheme="minorHAnsi"/>
          <w:sz w:val="22"/>
          <w:szCs w:val="22"/>
        </w:rPr>
        <w:t>a</w:t>
      </w:r>
      <w:r w:rsidRPr="009743EF">
        <w:rPr>
          <w:rFonts w:ascii="Aptos" w:hAnsi="Aptos" w:cstheme="minorHAnsi"/>
          <w:sz w:val="22"/>
          <w:szCs w:val="22"/>
        </w:rPr>
        <w:t xml:space="preserve"> osiguranja plaćanja od strane pravnih osoba kao sredstvo osiguranja naplate potraživanja</w:t>
      </w:r>
      <w:r>
        <w:rPr>
          <w:rFonts w:ascii="Aptos" w:hAnsi="Aptos" w:cstheme="minorHAnsi"/>
          <w:sz w:val="22"/>
          <w:szCs w:val="22"/>
        </w:rPr>
        <w:t xml:space="preserve">, </w:t>
      </w:r>
      <w:r w:rsidRPr="009743EF">
        <w:rPr>
          <w:rFonts w:ascii="Aptos" w:hAnsi="Aptos" w:cstheme="minorHAnsi"/>
          <w:sz w:val="22"/>
          <w:szCs w:val="22"/>
        </w:rPr>
        <w:t>izvođenja radova i usluga</w:t>
      </w:r>
      <w:r>
        <w:rPr>
          <w:rFonts w:ascii="Aptos" w:hAnsi="Aptos" w:cstheme="minorHAnsi"/>
          <w:sz w:val="22"/>
          <w:szCs w:val="22"/>
        </w:rPr>
        <w:t xml:space="preserve"> ili ispunjenja ostalih ugovornih obveza, a njihova vrijednost na dan 31.12.2023. godine iznosi 1.309.571,70 €.</w:t>
      </w:r>
    </w:p>
    <w:p w14:paraId="2E4881D2" w14:textId="56BC2D1B" w:rsidR="00AB1870" w:rsidRPr="00F61B8D" w:rsidRDefault="00AB1870" w:rsidP="00913577">
      <w:pPr>
        <w:spacing w:before="60" w:after="60"/>
        <w:ind w:left="-425" w:right="-380" w:firstLine="284"/>
        <w:jc w:val="both"/>
        <w:rPr>
          <w:rFonts w:ascii="Aptos" w:hAnsi="Aptos" w:cstheme="minorHAnsi"/>
          <w:bCs/>
          <w:sz w:val="22"/>
          <w:szCs w:val="22"/>
          <w:u w:val="single"/>
        </w:rPr>
      </w:pPr>
      <w:r w:rsidRPr="00F61B8D">
        <w:rPr>
          <w:rFonts w:ascii="Aptos" w:hAnsi="Aptos" w:cstheme="minorHAnsi"/>
          <w:bCs/>
          <w:sz w:val="22"/>
          <w:szCs w:val="22"/>
          <w:u w:val="single"/>
        </w:rPr>
        <w:t>2. Popis sudskih sporova u tijeku.</w:t>
      </w:r>
    </w:p>
    <w:p w14:paraId="41439874" w14:textId="6CA5A69B" w:rsidR="00913577" w:rsidRDefault="00913577" w:rsidP="00913577">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Stanje potencijalnih obveza po osnovi sudskih postupaka radi novčane tražbine, naknade štete, utvrđenja prava vlasništva na nekretninama u gradskom vlasništvu i sl. na dan 31.12.202</w:t>
      </w:r>
      <w:r w:rsidR="00502593">
        <w:rPr>
          <w:rFonts w:ascii="Aptos" w:hAnsi="Aptos" w:cstheme="minorHAnsi"/>
          <w:sz w:val="22"/>
          <w:szCs w:val="22"/>
        </w:rPr>
        <w:t>3</w:t>
      </w:r>
      <w:r w:rsidRPr="00F61B8D">
        <w:rPr>
          <w:rFonts w:ascii="Aptos" w:hAnsi="Aptos" w:cstheme="minorHAnsi"/>
          <w:sz w:val="22"/>
          <w:szCs w:val="22"/>
        </w:rPr>
        <w:t xml:space="preserve">. godine iznosi </w:t>
      </w:r>
      <w:r w:rsidR="00F34463">
        <w:rPr>
          <w:rFonts w:ascii="Aptos" w:hAnsi="Aptos" w:cstheme="minorHAnsi"/>
          <w:sz w:val="22"/>
          <w:szCs w:val="22"/>
        </w:rPr>
        <w:t>26.059,13 €</w:t>
      </w:r>
      <w:r w:rsidRPr="00F61B8D">
        <w:rPr>
          <w:rFonts w:ascii="Aptos" w:hAnsi="Aptos" w:cstheme="minorHAnsi"/>
          <w:sz w:val="22"/>
          <w:szCs w:val="22"/>
        </w:rPr>
        <w:t>, a odnosi se na sljedeće:</w:t>
      </w:r>
    </w:p>
    <w:p w14:paraId="18756D26" w14:textId="77777777" w:rsidR="009D4863" w:rsidRDefault="009D4863" w:rsidP="00913577">
      <w:pPr>
        <w:spacing w:before="60" w:after="60"/>
        <w:ind w:left="-425" w:right="-380" w:firstLine="284"/>
        <w:jc w:val="both"/>
        <w:rPr>
          <w:rFonts w:ascii="Aptos" w:hAnsi="Aptos" w:cstheme="minorHAnsi"/>
          <w:sz w:val="22"/>
          <w:szCs w:val="22"/>
        </w:rPr>
      </w:pPr>
    </w:p>
    <w:p w14:paraId="68A5D154" w14:textId="77777777" w:rsidR="009D4863" w:rsidRDefault="009D4863" w:rsidP="00913577">
      <w:pPr>
        <w:spacing w:before="60" w:after="60"/>
        <w:ind w:left="-425" w:right="-380" w:firstLine="284"/>
        <w:jc w:val="both"/>
        <w:rPr>
          <w:rFonts w:ascii="Aptos" w:hAnsi="Aptos" w:cstheme="minorHAnsi"/>
          <w:sz w:val="22"/>
          <w:szCs w:val="22"/>
        </w:rPr>
      </w:pPr>
    </w:p>
    <w:tbl>
      <w:tblPr>
        <w:tblW w:w="10065" w:type="dxa"/>
        <w:tblInd w:w="-426" w:type="dxa"/>
        <w:shd w:val="clear" w:color="auto" w:fill="FFFFFF" w:themeFill="background1"/>
        <w:tblLayout w:type="fixed"/>
        <w:tblLook w:val="04A0" w:firstRow="1" w:lastRow="0" w:firstColumn="1" w:lastColumn="0" w:noHBand="0" w:noVBand="1"/>
      </w:tblPr>
      <w:tblGrid>
        <w:gridCol w:w="1075"/>
        <w:gridCol w:w="1047"/>
        <w:gridCol w:w="1046"/>
        <w:gridCol w:w="1242"/>
        <w:gridCol w:w="1006"/>
        <w:gridCol w:w="2513"/>
        <w:gridCol w:w="1134"/>
        <w:gridCol w:w="1002"/>
      </w:tblGrid>
      <w:tr w:rsidR="00502593" w:rsidRPr="00502593" w14:paraId="0760B575" w14:textId="77777777" w:rsidTr="00F34463">
        <w:trPr>
          <w:trHeight w:val="765"/>
        </w:trPr>
        <w:tc>
          <w:tcPr>
            <w:tcW w:w="1075" w:type="dxa"/>
            <w:shd w:val="clear" w:color="auto" w:fill="D9D9D9" w:themeFill="background1" w:themeFillShade="D9"/>
            <w:vAlign w:val="center"/>
            <w:hideMark/>
          </w:tcPr>
          <w:p w14:paraId="596F50F6" w14:textId="77777777" w:rsidR="00502593" w:rsidRPr="00502593" w:rsidRDefault="00502593" w:rsidP="00502593">
            <w:pPr>
              <w:jc w:val="center"/>
              <w:rPr>
                <w:rFonts w:ascii="Aptos" w:hAnsi="Aptos" w:cs="Calibri"/>
                <w:b/>
                <w:bCs/>
                <w:sz w:val="16"/>
                <w:szCs w:val="16"/>
              </w:rPr>
            </w:pPr>
            <w:proofErr w:type="spellStart"/>
            <w:r w:rsidRPr="00502593">
              <w:rPr>
                <w:rFonts w:ascii="Aptos" w:hAnsi="Aptos" w:cs="Calibri"/>
                <w:b/>
                <w:bCs/>
                <w:sz w:val="16"/>
                <w:szCs w:val="16"/>
              </w:rPr>
              <w:lastRenderedPageBreak/>
              <w:t>Posl</w:t>
            </w:r>
            <w:proofErr w:type="spellEnd"/>
            <w:r w:rsidRPr="00502593">
              <w:rPr>
                <w:rFonts w:ascii="Aptos" w:hAnsi="Aptos" w:cs="Calibri"/>
                <w:b/>
                <w:bCs/>
                <w:sz w:val="16"/>
                <w:szCs w:val="16"/>
              </w:rPr>
              <w:t>. broj</w:t>
            </w:r>
          </w:p>
        </w:tc>
        <w:tc>
          <w:tcPr>
            <w:tcW w:w="1047" w:type="dxa"/>
            <w:shd w:val="clear" w:color="auto" w:fill="D9D9D9" w:themeFill="background1" w:themeFillShade="D9"/>
            <w:vAlign w:val="center"/>
            <w:hideMark/>
          </w:tcPr>
          <w:p w14:paraId="1E81DF69"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VPS</w:t>
            </w:r>
          </w:p>
        </w:tc>
        <w:tc>
          <w:tcPr>
            <w:tcW w:w="1046" w:type="dxa"/>
            <w:shd w:val="clear" w:color="auto" w:fill="D9D9D9" w:themeFill="background1" w:themeFillShade="D9"/>
            <w:vAlign w:val="center"/>
            <w:hideMark/>
          </w:tcPr>
          <w:p w14:paraId="77648427"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Očekivani zavisni troškovi</w:t>
            </w:r>
          </w:p>
        </w:tc>
        <w:tc>
          <w:tcPr>
            <w:tcW w:w="1242" w:type="dxa"/>
            <w:shd w:val="clear" w:color="auto" w:fill="D9D9D9" w:themeFill="background1" w:themeFillShade="D9"/>
            <w:vAlign w:val="center"/>
            <w:hideMark/>
          </w:tcPr>
          <w:p w14:paraId="662EB12B"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Tuženik</w:t>
            </w:r>
          </w:p>
        </w:tc>
        <w:tc>
          <w:tcPr>
            <w:tcW w:w="1006" w:type="dxa"/>
            <w:shd w:val="clear" w:color="auto" w:fill="D9D9D9" w:themeFill="background1" w:themeFillShade="D9"/>
            <w:vAlign w:val="center"/>
            <w:hideMark/>
          </w:tcPr>
          <w:p w14:paraId="284FB921"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Tužitelj</w:t>
            </w:r>
          </w:p>
        </w:tc>
        <w:tc>
          <w:tcPr>
            <w:tcW w:w="2513" w:type="dxa"/>
            <w:shd w:val="clear" w:color="auto" w:fill="D9D9D9" w:themeFill="background1" w:themeFillShade="D9"/>
            <w:vAlign w:val="center"/>
            <w:hideMark/>
          </w:tcPr>
          <w:p w14:paraId="157E0028"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Tijek postupka / napomene</w:t>
            </w:r>
          </w:p>
        </w:tc>
        <w:tc>
          <w:tcPr>
            <w:tcW w:w="1134" w:type="dxa"/>
            <w:shd w:val="clear" w:color="auto" w:fill="D9D9D9" w:themeFill="background1" w:themeFillShade="D9"/>
            <w:vAlign w:val="center"/>
            <w:hideMark/>
          </w:tcPr>
          <w:p w14:paraId="1DD8B7DB"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Iznos potencijalne obveze</w:t>
            </w:r>
          </w:p>
        </w:tc>
        <w:tc>
          <w:tcPr>
            <w:tcW w:w="1002" w:type="dxa"/>
            <w:shd w:val="clear" w:color="auto" w:fill="D9D9D9" w:themeFill="background1" w:themeFillShade="D9"/>
            <w:vAlign w:val="center"/>
            <w:hideMark/>
          </w:tcPr>
          <w:p w14:paraId="33560DEB" w14:textId="77777777" w:rsidR="00502593" w:rsidRPr="00502593" w:rsidRDefault="00502593" w:rsidP="00502593">
            <w:pPr>
              <w:jc w:val="center"/>
              <w:rPr>
                <w:rFonts w:ascii="Aptos" w:hAnsi="Aptos" w:cs="Calibri"/>
                <w:b/>
                <w:bCs/>
                <w:sz w:val="16"/>
                <w:szCs w:val="16"/>
              </w:rPr>
            </w:pPr>
            <w:r w:rsidRPr="00502593">
              <w:rPr>
                <w:rFonts w:ascii="Aptos" w:hAnsi="Aptos" w:cs="Calibri"/>
                <w:b/>
                <w:bCs/>
                <w:sz w:val="16"/>
                <w:szCs w:val="16"/>
              </w:rPr>
              <w:t>Očekivani rok realizacije</w:t>
            </w:r>
          </w:p>
        </w:tc>
      </w:tr>
      <w:tr w:rsidR="00502593" w:rsidRPr="00502593" w14:paraId="710E982C" w14:textId="77777777" w:rsidTr="00F34463">
        <w:trPr>
          <w:trHeight w:val="588"/>
        </w:trPr>
        <w:tc>
          <w:tcPr>
            <w:tcW w:w="1075" w:type="dxa"/>
            <w:shd w:val="clear" w:color="auto" w:fill="FFFFFF" w:themeFill="background1"/>
            <w:vAlign w:val="center"/>
            <w:hideMark/>
          </w:tcPr>
          <w:p w14:paraId="241E0F1D" w14:textId="127B33E1" w:rsidR="00502593" w:rsidRPr="00502593" w:rsidRDefault="00502593" w:rsidP="00502593">
            <w:pPr>
              <w:rPr>
                <w:rFonts w:ascii="Aptos" w:hAnsi="Aptos" w:cs="Calibri"/>
                <w:sz w:val="16"/>
                <w:szCs w:val="16"/>
              </w:rPr>
            </w:pPr>
            <w:r w:rsidRPr="00502593">
              <w:rPr>
                <w:rFonts w:ascii="Aptos" w:hAnsi="Aptos" w:cs="Calibri"/>
                <w:sz w:val="16"/>
                <w:szCs w:val="16"/>
              </w:rPr>
              <w:t>O.S. u Rijeci P-6795/15</w:t>
            </w:r>
          </w:p>
        </w:tc>
        <w:tc>
          <w:tcPr>
            <w:tcW w:w="1047" w:type="dxa"/>
            <w:shd w:val="clear" w:color="auto" w:fill="FFFFFF" w:themeFill="background1"/>
            <w:vAlign w:val="center"/>
            <w:hideMark/>
          </w:tcPr>
          <w:p w14:paraId="30369B8F"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9.954,21</w:t>
            </w:r>
          </w:p>
        </w:tc>
        <w:tc>
          <w:tcPr>
            <w:tcW w:w="1046" w:type="dxa"/>
            <w:shd w:val="clear" w:color="auto" w:fill="FFFFFF" w:themeFill="background1"/>
            <w:vAlign w:val="center"/>
            <w:hideMark/>
          </w:tcPr>
          <w:p w14:paraId="39FA967D"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2.000,00</w:t>
            </w:r>
          </w:p>
        </w:tc>
        <w:tc>
          <w:tcPr>
            <w:tcW w:w="1242" w:type="dxa"/>
            <w:shd w:val="clear" w:color="auto" w:fill="FFFFFF" w:themeFill="background1"/>
            <w:vAlign w:val="center"/>
            <w:hideMark/>
          </w:tcPr>
          <w:p w14:paraId="5D6C1592" w14:textId="77777777"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w:t>
            </w:r>
          </w:p>
        </w:tc>
        <w:tc>
          <w:tcPr>
            <w:tcW w:w="1006" w:type="dxa"/>
            <w:shd w:val="clear" w:color="auto" w:fill="FFFFFF" w:themeFill="background1"/>
            <w:vAlign w:val="center"/>
            <w:hideMark/>
          </w:tcPr>
          <w:p w14:paraId="16846BEA" w14:textId="3C3847B0" w:rsidR="00502593" w:rsidRPr="00502593" w:rsidRDefault="00502593" w:rsidP="00502593">
            <w:pPr>
              <w:jc w:val="center"/>
              <w:rPr>
                <w:rFonts w:ascii="Aptos" w:hAnsi="Aptos" w:cs="Calibri"/>
                <w:sz w:val="16"/>
                <w:szCs w:val="16"/>
              </w:rPr>
            </w:pPr>
            <w:r>
              <w:rPr>
                <w:rFonts w:ascii="Aptos" w:hAnsi="Aptos" w:cs="Calibri"/>
                <w:sz w:val="16"/>
                <w:szCs w:val="16"/>
              </w:rPr>
              <w:t>D.L.</w:t>
            </w:r>
          </w:p>
        </w:tc>
        <w:tc>
          <w:tcPr>
            <w:tcW w:w="2513" w:type="dxa"/>
            <w:shd w:val="clear" w:color="auto" w:fill="FFFFFF" w:themeFill="background1"/>
            <w:vAlign w:val="center"/>
            <w:hideMark/>
          </w:tcPr>
          <w:p w14:paraId="712CBCBB" w14:textId="78130CF4" w:rsidR="00502593" w:rsidRPr="00502593" w:rsidRDefault="00502593" w:rsidP="00502593">
            <w:pPr>
              <w:rPr>
                <w:rFonts w:ascii="Aptos" w:hAnsi="Aptos" w:cs="Calibri"/>
                <w:sz w:val="16"/>
                <w:szCs w:val="16"/>
              </w:rPr>
            </w:pPr>
            <w:r w:rsidRPr="00502593">
              <w:rPr>
                <w:rFonts w:ascii="Aptos" w:hAnsi="Aptos" w:cs="Calibri"/>
                <w:color w:val="000000"/>
                <w:sz w:val="16"/>
                <w:szCs w:val="16"/>
              </w:rPr>
              <w:t>Tužba na utvrđenje prava vlasništva</w:t>
            </w:r>
            <w:r w:rsidRPr="00502593">
              <w:rPr>
                <w:rFonts w:ascii="Aptos" w:hAnsi="Aptos" w:cs="Calibri"/>
                <w:sz w:val="16"/>
                <w:szCs w:val="16"/>
              </w:rPr>
              <w:t xml:space="preserve"> Predmet po drugi puta u žalbenom postupku</w:t>
            </w:r>
          </w:p>
        </w:tc>
        <w:tc>
          <w:tcPr>
            <w:tcW w:w="1134" w:type="dxa"/>
            <w:shd w:val="clear" w:color="auto" w:fill="FFFFFF" w:themeFill="background1"/>
            <w:noWrap/>
            <w:vAlign w:val="center"/>
            <w:hideMark/>
          </w:tcPr>
          <w:p w14:paraId="5C515222"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11.954,21</w:t>
            </w:r>
          </w:p>
        </w:tc>
        <w:tc>
          <w:tcPr>
            <w:tcW w:w="1002" w:type="dxa"/>
            <w:shd w:val="clear" w:color="auto" w:fill="FFFFFF" w:themeFill="background1"/>
            <w:vAlign w:val="center"/>
            <w:hideMark/>
          </w:tcPr>
          <w:p w14:paraId="5271C139"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1 godina</w:t>
            </w:r>
          </w:p>
        </w:tc>
      </w:tr>
      <w:tr w:rsidR="00502593" w:rsidRPr="00502593" w14:paraId="1D835E32" w14:textId="77777777" w:rsidTr="00F34463">
        <w:trPr>
          <w:trHeight w:val="864"/>
        </w:trPr>
        <w:tc>
          <w:tcPr>
            <w:tcW w:w="1075" w:type="dxa"/>
            <w:shd w:val="clear" w:color="auto" w:fill="FFFFFF" w:themeFill="background1"/>
            <w:vAlign w:val="center"/>
            <w:hideMark/>
          </w:tcPr>
          <w:p w14:paraId="743092F6" w14:textId="53968526" w:rsidR="00502593" w:rsidRPr="00502593" w:rsidRDefault="00502593" w:rsidP="00502593">
            <w:pPr>
              <w:rPr>
                <w:rFonts w:ascii="Aptos" w:hAnsi="Aptos" w:cs="Calibri"/>
                <w:sz w:val="16"/>
                <w:szCs w:val="16"/>
              </w:rPr>
            </w:pPr>
            <w:r w:rsidRPr="00502593">
              <w:rPr>
                <w:rFonts w:ascii="Aptos" w:hAnsi="Aptos" w:cs="Calibri"/>
                <w:sz w:val="16"/>
                <w:szCs w:val="16"/>
              </w:rPr>
              <w:t>Općinski sud u Rijeci P-950/18</w:t>
            </w:r>
          </w:p>
        </w:tc>
        <w:tc>
          <w:tcPr>
            <w:tcW w:w="1047" w:type="dxa"/>
            <w:shd w:val="clear" w:color="auto" w:fill="FFFFFF" w:themeFill="background1"/>
            <w:vAlign w:val="center"/>
            <w:hideMark/>
          </w:tcPr>
          <w:p w14:paraId="0682CEED"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1.459,95</w:t>
            </w:r>
          </w:p>
        </w:tc>
        <w:tc>
          <w:tcPr>
            <w:tcW w:w="1046" w:type="dxa"/>
            <w:shd w:val="clear" w:color="auto" w:fill="FFFFFF" w:themeFill="background1"/>
            <w:vAlign w:val="center"/>
            <w:hideMark/>
          </w:tcPr>
          <w:p w14:paraId="6348FF56"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0,00</w:t>
            </w:r>
          </w:p>
        </w:tc>
        <w:tc>
          <w:tcPr>
            <w:tcW w:w="1242" w:type="dxa"/>
            <w:shd w:val="clear" w:color="auto" w:fill="FFFFFF" w:themeFill="background1"/>
            <w:vAlign w:val="center"/>
            <w:hideMark/>
          </w:tcPr>
          <w:p w14:paraId="02786AA6" w14:textId="77777777"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w:t>
            </w:r>
          </w:p>
        </w:tc>
        <w:tc>
          <w:tcPr>
            <w:tcW w:w="1006" w:type="dxa"/>
            <w:shd w:val="clear" w:color="auto" w:fill="FFFFFF" w:themeFill="background1"/>
            <w:vAlign w:val="center"/>
            <w:hideMark/>
          </w:tcPr>
          <w:p w14:paraId="60A02510" w14:textId="73530EBC" w:rsidR="00502593" w:rsidRPr="00502593" w:rsidRDefault="00502593" w:rsidP="00502593">
            <w:pPr>
              <w:jc w:val="center"/>
              <w:rPr>
                <w:rFonts w:ascii="Aptos" w:hAnsi="Aptos" w:cs="Calibri"/>
                <w:sz w:val="16"/>
                <w:szCs w:val="16"/>
              </w:rPr>
            </w:pPr>
            <w:r>
              <w:rPr>
                <w:rFonts w:ascii="Aptos" w:hAnsi="Aptos" w:cs="Calibri"/>
                <w:sz w:val="16"/>
                <w:szCs w:val="16"/>
              </w:rPr>
              <w:t>G.P.</w:t>
            </w:r>
          </w:p>
        </w:tc>
        <w:tc>
          <w:tcPr>
            <w:tcW w:w="2513" w:type="dxa"/>
            <w:shd w:val="clear" w:color="auto" w:fill="FFFFFF" w:themeFill="background1"/>
            <w:vAlign w:val="center"/>
            <w:hideMark/>
          </w:tcPr>
          <w:p w14:paraId="7ABAD0F2" w14:textId="77777777" w:rsidR="00502593" w:rsidRPr="00502593" w:rsidRDefault="00502593" w:rsidP="00502593">
            <w:pPr>
              <w:rPr>
                <w:rFonts w:ascii="Aptos" w:hAnsi="Aptos" w:cs="Calibri"/>
                <w:sz w:val="16"/>
                <w:szCs w:val="16"/>
              </w:rPr>
            </w:pPr>
            <w:r w:rsidRPr="00502593">
              <w:rPr>
                <w:rFonts w:ascii="Aptos" w:hAnsi="Aptos" w:cs="Calibri"/>
                <w:sz w:val="16"/>
                <w:szCs w:val="16"/>
              </w:rPr>
              <w:t>Tužba na utvrđenje prava vlasništva. Prekid zbog smrti stranke.</w:t>
            </w:r>
          </w:p>
        </w:tc>
        <w:tc>
          <w:tcPr>
            <w:tcW w:w="1134" w:type="dxa"/>
            <w:shd w:val="clear" w:color="auto" w:fill="FFFFFF" w:themeFill="background1"/>
            <w:noWrap/>
            <w:vAlign w:val="center"/>
            <w:hideMark/>
          </w:tcPr>
          <w:p w14:paraId="6BEEC79A"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1.459,95</w:t>
            </w:r>
          </w:p>
        </w:tc>
        <w:tc>
          <w:tcPr>
            <w:tcW w:w="1002" w:type="dxa"/>
            <w:shd w:val="clear" w:color="auto" w:fill="FFFFFF" w:themeFill="background1"/>
            <w:vAlign w:val="center"/>
            <w:hideMark/>
          </w:tcPr>
          <w:p w14:paraId="4F662AC3"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5 godina</w:t>
            </w:r>
          </w:p>
        </w:tc>
      </w:tr>
      <w:tr w:rsidR="00502593" w:rsidRPr="00502593" w14:paraId="2AF1C1E0" w14:textId="77777777" w:rsidTr="00F34463">
        <w:trPr>
          <w:trHeight w:val="864"/>
        </w:trPr>
        <w:tc>
          <w:tcPr>
            <w:tcW w:w="1075" w:type="dxa"/>
            <w:shd w:val="clear" w:color="auto" w:fill="FFFFFF" w:themeFill="background1"/>
            <w:vAlign w:val="center"/>
            <w:hideMark/>
          </w:tcPr>
          <w:p w14:paraId="53C17875" w14:textId="641F766F" w:rsidR="00502593" w:rsidRPr="00502593" w:rsidRDefault="00502593" w:rsidP="00502593">
            <w:pPr>
              <w:rPr>
                <w:rFonts w:ascii="Aptos" w:hAnsi="Aptos" w:cs="Calibri"/>
                <w:sz w:val="16"/>
                <w:szCs w:val="16"/>
              </w:rPr>
            </w:pPr>
            <w:r w:rsidRPr="00502593">
              <w:rPr>
                <w:rFonts w:ascii="Aptos" w:hAnsi="Aptos" w:cs="Calibri"/>
                <w:sz w:val="16"/>
                <w:szCs w:val="16"/>
              </w:rPr>
              <w:t>Općinski sud u Rijeci</w:t>
            </w:r>
            <w:r w:rsidR="00F34463">
              <w:rPr>
                <w:rFonts w:ascii="Aptos" w:hAnsi="Aptos" w:cs="Calibri"/>
                <w:sz w:val="16"/>
                <w:szCs w:val="16"/>
              </w:rPr>
              <w:t xml:space="preserve"> </w:t>
            </w:r>
            <w:r w:rsidRPr="00502593">
              <w:rPr>
                <w:rFonts w:ascii="Aptos" w:hAnsi="Aptos" w:cs="Calibri"/>
                <w:sz w:val="16"/>
                <w:szCs w:val="16"/>
              </w:rPr>
              <w:t>P-1583/20</w:t>
            </w:r>
          </w:p>
        </w:tc>
        <w:tc>
          <w:tcPr>
            <w:tcW w:w="1047" w:type="dxa"/>
            <w:shd w:val="clear" w:color="auto" w:fill="FFFFFF" w:themeFill="background1"/>
            <w:vAlign w:val="center"/>
            <w:hideMark/>
          </w:tcPr>
          <w:p w14:paraId="4037079B"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1.459,95</w:t>
            </w:r>
          </w:p>
        </w:tc>
        <w:tc>
          <w:tcPr>
            <w:tcW w:w="1046" w:type="dxa"/>
            <w:shd w:val="clear" w:color="auto" w:fill="FFFFFF" w:themeFill="background1"/>
            <w:vAlign w:val="center"/>
            <w:hideMark/>
          </w:tcPr>
          <w:p w14:paraId="1A2B9CC1"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663,62</w:t>
            </w:r>
          </w:p>
        </w:tc>
        <w:tc>
          <w:tcPr>
            <w:tcW w:w="1242" w:type="dxa"/>
            <w:shd w:val="clear" w:color="auto" w:fill="FFFFFF" w:themeFill="background1"/>
            <w:vAlign w:val="center"/>
            <w:hideMark/>
          </w:tcPr>
          <w:p w14:paraId="16294A9E" w14:textId="77777777"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w:t>
            </w:r>
          </w:p>
        </w:tc>
        <w:tc>
          <w:tcPr>
            <w:tcW w:w="1006" w:type="dxa"/>
            <w:shd w:val="clear" w:color="auto" w:fill="FFFFFF" w:themeFill="background1"/>
            <w:vAlign w:val="center"/>
            <w:hideMark/>
          </w:tcPr>
          <w:p w14:paraId="49205335" w14:textId="53EC0ACF" w:rsidR="00502593" w:rsidRPr="00502593" w:rsidRDefault="00F34463" w:rsidP="00502593">
            <w:pPr>
              <w:jc w:val="center"/>
              <w:rPr>
                <w:rFonts w:ascii="Aptos" w:hAnsi="Aptos" w:cs="Calibri"/>
                <w:sz w:val="16"/>
                <w:szCs w:val="16"/>
              </w:rPr>
            </w:pPr>
            <w:r>
              <w:rPr>
                <w:rFonts w:ascii="Aptos" w:hAnsi="Aptos" w:cs="Calibri"/>
                <w:sz w:val="16"/>
                <w:szCs w:val="16"/>
              </w:rPr>
              <w:t>D.J.</w:t>
            </w:r>
          </w:p>
        </w:tc>
        <w:tc>
          <w:tcPr>
            <w:tcW w:w="2513" w:type="dxa"/>
            <w:shd w:val="clear" w:color="auto" w:fill="FFFFFF" w:themeFill="background1"/>
            <w:vAlign w:val="center"/>
            <w:hideMark/>
          </w:tcPr>
          <w:p w14:paraId="782500DA" w14:textId="77777777" w:rsidR="00502593" w:rsidRPr="00502593" w:rsidRDefault="00502593" w:rsidP="00502593">
            <w:pPr>
              <w:rPr>
                <w:rFonts w:ascii="Aptos" w:hAnsi="Aptos" w:cs="Calibri"/>
                <w:sz w:val="16"/>
                <w:szCs w:val="16"/>
              </w:rPr>
            </w:pPr>
            <w:r w:rsidRPr="00502593">
              <w:rPr>
                <w:rFonts w:ascii="Aptos" w:hAnsi="Aptos" w:cs="Calibri"/>
                <w:sz w:val="16"/>
                <w:szCs w:val="16"/>
              </w:rPr>
              <w:t>Očekuje se donošenje prvostupanjske presude</w:t>
            </w:r>
          </w:p>
        </w:tc>
        <w:tc>
          <w:tcPr>
            <w:tcW w:w="1134" w:type="dxa"/>
            <w:shd w:val="clear" w:color="auto" w:fill="FFFFFF" w:themeFill="background1"/>
            <w:noWrap/>
            <w:vAlign w:val="center"/>
            <w:hideMark/>
          </w:tcPr>
          <w:p w14:paraId="3E9E9AEA"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2.150,57</w:t>
            </w:r>
          </w:p>
        </w:tc>
        <w:tc>
          <w:tcPr>
            <w:tcW w:w="1002" w:type="dxa"/>
            <w:shd w:val="clear" w:color="auto" w:fill="FFFFFF" w:themeFill="background1"/>
            <w:vAlign w:val="center"/>
            <w:hideMark/>
          </w:tcPr>
          <w:p w14:paraId="3F8D4DE3"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3 godine</w:t>
            </w:r>
          </w:p>
        </w:tc>
      </w:tr>
      <w:tr w:rsidR="00502593" w:rsidRPr="00502593" w14:paraId="59728446" w14:textId="77777777" w:rsidTr="00F34463">
        <w:trPr>
          <w:trHeight w:val="864"/>
        </w:trPr>
        <w:tc>
          <w:tcPr>
            <w:tcW w:w="1075" w:type="dxa"/>
            <w:shd w:val="clear" w:color="auto" w:fill="FFFFFF" w:themeFill="background1"/>
            <w:vAlign w:val="center"/>
            <w:hideMark/>
          </w:tcPr>
          <w:p w14:paraId="17A781FF" w14:textId="77777777" w:rsidR="00502593" w:rsidRPr="00502593" w:rsidRDefault="00502593" w:rsidP="00502593">
            <w:pPr>
              <w:rPr>
                <w:rFonts w:ascii="Aptos" w:hAnsi="Aptos" w:cs="Calibri"/>
                <w:sz w:val="16"/>
                <w:szCs w:val="16"/>
              </w:rPr>
            </w:pPr>
            <w:r w:rsidRPr="00502593">
              <w:rPr>
                <w:rFonts w:ascii="Aptos" w:hAnsi="Aptos" w:cs="Calibri"/>
                <w:sz w:val="16"/>
                <w:szCs w:val="16"/>
              </w:rPr>
              <w:t>Općinski sud u Rijeci Pn-57/2022</w:t>
            </w:r>
          </w:p>
        </w:tc>
        <w:tc>
          <w:tcPr>
            <w:tcW w:w="1047" w:type="dxa"/>
            <w:shd w:val="clear" w:color="auto" w:fill="FFFFFF" w:themeFill="background1"/>
            <w:vAlign w:val="center"/>
            <w:hideMark/>
          </w:tcPr>
          <w:p w14:paraId="1032E264"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3.185,35</w:t>
            </w:r>
          </w:p>
        </w:tc>
        <w:tc>
          <w:tcPr>
            <w:tcW w:w="1046" w:type="dxa"/>
            <w:shd w:val="clear" w:color="auto" w:fill="FFFFFF" w:themeFill="background1"/>
            <w:vAlign w:val="center"/>
            <w:hideMark/>
          </w:tcPr>
          <w:p w14:paraId="0B23C623"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2.000,00</w:t>
            </w:r>
          </w:p>
        </w:tc>
        <w:tc>
          <w:tcPr>
            <w:tcW w:w="1242" w:type="dxa"/>
            <w:shd w:val="clear" w:color="auto" w:fill="FFFFFF" w:themeFill="background1"/>
            <w:vAlign w:val="center"/>
            <w:hideMark/>
          </w:tcPr>
          <w:p w14:paraId="7674DBD7" w14:textId="77777777"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w:t>
            </w:r>
          </w:p>
        </w:tc>
        <w:tc>
          <w:tcPr>
            <w:tcW w:w="1006" w:type="dxa"/>
            <w:shd w:val="clear" w:color="auto" w:fill="FFFFFF" w:themeFill="background1"/>
            <w:vAlign w:val="center"/>
            <w:hideMark/>
          </w:tcPr>
          <w:p w14:paraId="7C22D0F8" w14:textId="4515BFC9" w:rsidR="00502593" w:rsidRPr="00502593" w:rsidRDefault="00F34463" w:rsidP="00502593">
            <w:pPr>
              <w:jc w:val="center"/>
              <w:rPr>
                <w:rFonts w:ascii="Aptos" w:hAnsi="Aptos" w:cs="Calibri"/>
                <w:sz w:val="16"/>
                <w:szCs w:val="16"/>
              </w:rPr>
            </w:pPr>
            <w:r>
              <w:rPr>
                <w:rFonts w:ascii="Aptos" w:hAnsi="Aptos" w:cs="Calibri"/>
                <w:sz w:val="16"/>
                <w:szCs w:val="16"/>
              </w:rPr>
              <w:t>C.R.</w:t>
            </w:r>
          </w:p>
        </w:tc>
        <w:tc>
          <w:tcPr>
            <w:tcW w:w="2513" w:type="dxa"/>
            <w:shd w:val="clear" w:color="auto" w:fill="FFFFFF" w:themeFill="background1"/>
            <w:vAlign w:val="center"/>
            <w:hideMark/>
          </w:tcPr>
          <w:p w14:paraId="5EB7C2B0" w14:textId="77777777" w:rsidR="00502593" w:rsidRPr="00502593" w:rsidRDefault="00502593" w:rsidP="00502593">
            <w:pPr>
              <w:rPr>
                <w:rFonts w:ascii="Aptos" w:hAnsi="Aptos" w:cs="Calibri"/>
                <w:sz w:val="16"/>
                <w:szCs w:val="16"/>
              </w:rPr>
            </w:pPr>
            <w:r w:rsidRPr="00502593">
              <w:rPr>
                <w:rFonts w:ascii="Aptos" w:hAnsi="Aptos" w:cs="Calibri"/>
                <w:sz w:val="16"/>
                <w:szCs w:val="16"/>
              </w:rPr>
              <w:t>Tužba zbog naknade nematerijalne i materijalne štete</w:t>
            </w:r>
          </w:p>
        </w:tc>
        <w:tc>
          <w:tcPr>
            <w:tcW w:w="1134" w:type="dxa"/>
            <w:shd w:val="clear" w:color="auto" w:fill="FFFFFF" w:themeFill="background1"/>
            <w:noWrap/>
            <w:vAlign w:val="center"/>
            <w:hideMark/>
          </w:tcPr>
          <w:p w14:paraId="4AB4B8DF"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5.185,35</w:t>
            </w:r>
          </w:p>
        </w:tc>
        <w:tc>
          <w:tcPr>
            <w:tcW w:w="1002" w:type="dxa"/>
            <w:shd w:val="clear" w:color="auto" w:fill="FFFFFF" w:themeFill="background1"/>
            <w:vAlign w:val="center"/>
            <w:hideMark/>
          </w:tcPr>
          <w:p w14:paraId="359CBFB0"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2 godine</w:t>
            </w:r>
          </w:p>
        </w:tc>
      </w:tr>
      <w:tr w:rsidR="00502593" w:rsidRPr="00502593" w14:paraId="25FAB3C4" w14:textId="77777777" w:rsidTr="00F34463">
        <w:trPr>
          <w:trHeight w:val="864"/>
        </w:trPr>
        <w:tc>
          <w:tcPr>
            <w:tcW w:w="1075" w:type="dxa"/>
            <w:shd w:val="clear" w:color="auto" w:fill="FFFFFF" w:themeFill="background1"/>
            <w:vAlign w:val="center"/>
            <w:hideMark/>
          </w:tcPr>
          <w:p w14:paraId="19495A42" w14:textId="77777777" w:rsidR="00502593" w:rsidRPr="00502593" w:rsidRDefault="00502593" w:rsidP="00502593">
            <w:pPr>
              <w:rPr>
                <w:rFonts w:ascii="Aptos" w:hAnsi="Aptos" w:cs="Calibri"/>
                <w:sz w:val="16"/>
                <w:szCs w:val="16"/>
              </w:rPr>
            </w:pPr>
            <w:r w:rsidRPr="00502593">
              <w:rPr>
                <w:rFonts w:ascii="Aptos" w:hAnsi="Aptos" w:cs="Calibri"/>
                <w:sz w:val="16"/>
                <w:szCs w:val="16"/>
              </w:rPr>
              <w:t>Općinski sud u Rijeci P-577/2020</w:t>
            </w:r>
          </w:p>
        </w:tc>
        <w:tc>
          <w:tcPr>
            <w:tcW w:w="1047" w:type="dxa"/>
            <w:shd w:val="clear" w:color="auto" w:fill="FFFFFF" w:themeFill="background1"/>
            <w:vAlign w:val="center"/>
            <w:hideMark/>
          </w:tcPr>
          <w:p w14:paraId="2E184DE0"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1.327,36</w:t>
            </w:r>
          </w:p>
        </w:tc>
        <w:tc>
          <w:tcPr>
            <w:tcW w:w="1046" w:type="dxa"/>
            <w:shd w:val="clear" w:color="auto" w:fill="FFFFFF" w:themeFill="background1"/>
            <w:vAlign w:val="center"/>
            <w:hideMark/>
          </w:tcPr>
          <w:p w14:paraId="7570512E"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1.327,23</w:t>
            </w:r>
          </w:p>
        </w:tc>
        <w:tc>
          <w:tcPr>
            <w:tcW w:w="1242" w:type="dxa"/>
            <w:shd w:val="clear" w:color="auto" w:fill="FFFFFF" w:themeFill="background1"/>
            <w:vAlign w:val="center"/>
            <w:hideMark/>
          </w:tcPr>
          <w:p w14:paraId="70E74480" w14:textId="5B12E2F6"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 i RH</w:t>
            </w:r>
          </w:p>
        </w:tc>
        <w:tc>
          <w:tcPr>
            <w:tcW w:w="1006" w:type="dxa"/>
            <w:shd w:val="clear" w:color="auto" w:fill="FFFFFF" w:themeFill="background1"/>
            <w:vAlign w:val="center"/>
            <w:hideMark/>
          </w:tcPr>
          <w:p w14:paraId="733BC6D4" w14:textId="40DF8C37" w:rsidR="00502593" w:rsidRPr="00502593" w:rsidRDefault="00F34463" w:rsidP="00502593">
            <w:pPr>
              <w:jc w:val="center"/>
              <w:rPr>
                <w:rFonts w:ascii="Aptos" w:hAnsi="Aptos" w:cs="Calibri"/>
                <w:sz w:val="16"/>
                <w:szCs w:val="16"/>
              </w:rPr>
            </w:pPr>
            <w:r>
              <w:rPr>
                <w:rFonts w:ascii="Aptos" w:hAnsi="Aptos" w:cs="Calibri"/>
                <w:sz w:val="16"/>
                <w:szCs w:val="16"/>
              </w:rPr>
              <w:t>D.M.</w:t>
            </w:r>
          </w:p>
        </w:tc>
        <w:tc>
          <w:tcPr>
            <w:tcW w:w="2513" w:type="dxa"/>
            <w:shd w:val="clear" w:color="auto" w:fill="FFFFFF" w:themeFill="background1"/>
            <w:vAlign w:val="center"/>
            <w:hideMark/>
          </w:tcPr>
          <w:p w14:paraId="5747953F" w14:textId="77777777" w:rsidR="00502593" w:rsidRPr="00502593" w:rsidRDefault="00502593" w:rsidP="00502593">
            <w:pPr>
              <w:rPr>
                <w:rFonts w:ascii="Aptos" w:hAnsi="Aptos" w:cs="Calibri"/>
                <w:sz w:val="16"/>
                <w:szCs w:val="16"/>
              </w:rPr>
            </w:pPr>
            <w:r w:rsidRPr="00502593">
              <w:rPr>
                <w:rFonts w:ascii="Aptos" w:hAnsi="Aptos" w:cs="Calibri"/>
                <w:sz w:val="16"/>
                <w:szCs w:val="16"/>
              </w:rPr>
              <w:t>Tužba radi utvrđenja prava vlasništva</w:t>
            </w:r>
          </w:p>
        </w:tc>
        <w:tc>
          <w:tcPr>
            <w:tcW w:w="1134" w:type="dxa"/>
            <w:shd w:val="clear" w:color="auto" w:fill="FFFFFF" w:themeFill="background1"/>
            <w:noWrap/>
            <w:vAlign w:val="center"/>
            <w:hideMark/>
          </w:tcPr>
          <w:p w14:paraId="703570D1"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2.654,59</w:t>
            </w:r>
          </w:p>
        </w:tc>
        <w:tc>
          <w:tcPr>
            <w:tcW w:w="1002" w:type="dxa"/>
            <w:shd w:val="clear" w:color="auto" w:fill="FFFFFF" w:themeFill="background1"/>
            <w:vAlign w:val="center"/>
            <w:hideMark/>
          </w:tcPr>
          <w:p w14:paraId="2CC894A1"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2 godine</w:t>
            </w:r>
          </w:p>
        </w:tc>
      </w:tr>
      <w:tr w:rsidR="00502593" w:rsidRPr="00502593" w14:paraId="0127F763" w14:textId="77777777" w:rsidTr="00F34463">
        <w:trPr>
          <w:trHeight w:val="876"/>
        </w:trPr>
        <w:tc>
          <w:tcPr>
            <w:tcW w:w="1075" w:type="dxa"/>
            <w:shd w:val="clear" w:color="auto" w:fill="FFFFFF" w:themeFill="background1"/>
            <w:vAlign w:val="center"/>
            <w:hideMark/>
          </w:tcPr>
          <w:p w14:paraId="1DCF206D" w14:textId="176D3BB4" w:rsidR="00502593" w:rsidRPr="00502593" w:rsidRDefault="00502593" w:rsidP="00502593">
            <w:pPr>
              <w:rPr>
                <w:rFonts w:ascii="Aptos" w:hAnsi="Aptos" w:cs="Calibri"/>
                <w:sz w:val="16"/>
                <w:szCs w:val="16"/>
              </w:rPr>
            </w:pPr>
            <w:r w:rsidRPr="00502593">
              <w:rPr>
                <w:rFonts w:ascii="Aptos" w:hAnsi="Aptos" w:cs="Calibri"/>
                <w:sz w:val="16"/>
                <w:szCs w:val="16"/>
              </w:rPr>
              <w:t>Općinski sud u Rijeci P</w:t>
            </w:r>
            <w:r w:rsidR="00F34463">
              <w:rPr>
                <w:rFonts w:ascii="Aptos" w:hAnsi="Aptos" w:cs="Calibri"/>
                <w:sz w:val="16"/>
                <w:szCs w:val="16"/>
              </w:rPr>
              <w:t>-</w:t>
            </w:r>
            <w:r w:rsidRPr="00502593">
              <w:rPr>
                <w:rFonts w:ascii="Aptos" w:hAnsi="Aptos" w:cs="Calibri"/>
                <w:sz w:val="16"/>
                <w:szCs w:val="16"/>
              </w:rPr>
              <w:t>1719/21</w:t>
            </w:r>
          </w:p>
        </w:tc>
        <w:tc>
          <w:tcPr>
            <w:tcW w:w="1047" w:type="dxa"/>
            <w:shd w:val="clear" w:color="auto" w:fill="FFFFFF" w:themeFill="background1"/>
            <w:vAlign w:val="center"/>
            <w:hideMark/>
          </w:tcPr>
          <w:p w14:paraId="2E1BAE3F"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2.654,46</w:t>
            </w:r>
          </w:p>
        </w:tc>
        <w:tc>
          <w:tcPr>
            <w:tcW w:w="1046" w:type="dxa"/>
            <w:shd w:val="clear" w:color="auto" w:fill="FFFFFF" w:themeFill="background1"/>
            <w:vAlign w:val="center"/>
            <w:hideMark/>
          </w:tcPr>
          <w:p w14:paraId="76F866A6" w14:textId="77777777" w:rsidR="00502593" w:rsidRPr="00502593" w:rsidRDefault="00502593" w:rsidP="00502593">
            <w:pPr>
              <w:jc w:val="right"/>
              <w:rPr>
                <w:rFonts w:ascii="Aptos" w:hAnsi="Aptos" w:cs="Calibri"/>
                <w:sz w:val="16"/>
                <w:szCs w:val="16"/>
              </w:rPr>
            </w:pPr>
            <w:r w:rsidRPr="00502593">
              <w:rPr>
                <w:rFonts w:ascii="Aptos" w:hAnsi="Aptos" w:cs="Calibri"/>
                <w:sz w:val="16"/>
                <w:szCs w:val="16"/>
              </w:rPr>
              <w:t>0,00</w:t>
            </w:r>
          </w:p>
        </w:tc>
        <w:tc>
          <w:tcPr>
            <w:tcW w:w="1242" w:type="dxa"/>
            <w:shd w:val="clear" w:color="auto" w:fill="FFFFFF" w:themeFill="background1"/>
            <w:vAlign w:val="center"/>
            <w:hideMark/>
          </w:tcPr>
          <w:p w14:paraId="3286DE40" w14:textId="77777777" w:rsidR="00502593" w:rsidRPr="00502593" w:rsidRDefault="00502593" w:rsidP="00502593">
            <w:pPr>
              <w:jc w:val="center"/>
              <w:rPr>
                <w:rFonts w:ascii="Aptos" w:hAnsi="Aptos" w:cs="Calibri"/>
                <w:sz w:val="16"/>
                <w:szCs w:val="16"/>
              </w:rPr>
            </w:pPr>
            <w:r w:rsidRPr="00502593">
              <w:rPr>
                <w:rFonts w:ascii="Aptos" w:hAnsi="Aptos" w:cs="Calibri"/>
                <w:sz w:val="16"/>
                <w:szCs w:val="16"/>
              </w:rPr>
              <w:t>Grad Bakar</w:t>
            </w:r>
          </w:p>
        </w:tc>
        <w:tc>
          <w:tcPr>
            <w:tcW w:w="1006" w:type="dxa"/>
            <w:shd w:val="clear" w:color="auto" w:fill="FFFFFF" w:themeFill="background1"/>
            <w:vAlign w:val="center"/>
            <w:hideMark/>
          </w:tcPr>
          <w:p w14:paraId="7B08FF1C" w14:textId="01D3F858" w:rsidR="00502593" w:rsidRPr="00502593" w:rsidRDefault="00F34463" w:rsidP="00502593">
            <w:pPr>
              <w:jc w:val="center"/>
              <w:rPr>
                <w:rFonts w:ascii="Aptos" w:hAnsi="Aptos" w:cs="Calibri"/>
                <w:sz w:val="16"/>
                <w:szCs w:val="16"/>
              </w:rPr>
            </w:pPr>
            <w:r>
              <w:rPr>
                <w:rFonts w:ascii="Aptos" w:hAnsi="Aptos" w:cs="Calibri"/>
                <w:sz w:val="16"/>
                <w:szCs w:val="16"/>
              </w:rPr>
              <w:t>S.Š.</w:t>
            </w:r>
          </w:p>
        </w:tc>
        <w:tc>
          <w:tcPr>
            <w:tcW w:w="2513" w:type="dxa"/>
            <w:shd w:val="clear" w:color="auto" w:fill="FFFFFF" w:themeFill="background1"/>
            <w:vAlign w:val="center"/>
            <w:hideMark/>
          </w:tcPr>
          <w:p w14:paraId="232FC86A" w14:textId="77777777" w:rsidR="00502593" w:rsidRPr="00502593" w:rsidRDefault="00502593" w:rsidP="00502593">
            <w:pPr>
              <w:rPr>
                <w:rFonts w:ascii="Aptos" w:hAnsi="Aptos" w:cs="Calibri"/>
                <w:sz w:val="16"/>
                <w:szCs w:val="16"/>
              </w:rPr>
            </w:pPr>
            <w:r w:rsidRPr="00502593">
              <w:rPr>
                <w:rFonts w:ascii="Aptos" w:hAnsi="Aptos" w:cs="Calibri"/>
                <w:sz w:val="16"/>
                <w:szCs w:val="16"/>
              </w:rPr>
              <w:t xml:space="preserve">Postupak je tek pokrenut. </w:t>
            </w:r>
          </w:p>
        </w:tc>
        <w:tc>
          <w:tcPr>
            <w:tcW w:w="1134" w:type="dxa"/>
            <w:shd w:val="clear" w:color="auto" w:fill="FFFFFF" w:themeFill="background1"/>
            <w:noWrap/>
            <w:vAlign w:val="center"/>
            <w:hideMark/>
          </w:tcPr>
          <w:p w14:paraId="7B284C11" w14:textId="77777777" w:rsidR="00502593" w:rsidRPr="00502593" w:rsidRDefault="00502593" w:rsidP="00F34463">
            <w:pPr>
              <w:jc w:val="right"/>
              <w:rPr>
                <w:rFonts w:ascii="Aptos" w:hAnsi="Aptos" w:cs="Calibri"/>
                <w:sz w:val="16"/>
                <w:szCs w:val="16"/>
              </w:rPr>
            </w:pPr>
            <w:r w:rsidRPr="00502593">
              <w:rPr>
                <w:rFonts w:ascii="Aptos" w:hAnsi="Aptos" w:cs="Calibri"/>
                <w:sz w:val="16"/>
                <w:szCs w:val="16"/>
              </w:rPr>
              <w:t>2.654,46</w:t>
            </w:r>
          </w:p>
        </w:tc>
        <w:tc>
          <w:tcPr>
            <w:tcW w:w="1002" w:type="dxa"/>
            <w:shd w:val="clear" w:color="auto" w:fill="FFFFFF" w:themeFill="background1"/>
            <w:vAlign w:val="center"/>
            <w:hideMark/>
          </w:tcPr>
          <w:p w14:paraId="64EA0753" w14:textId="77777777" w:rsidR="00502593" w:rsidRPr="00502593" w:rsidRDefault="00502593" w:rsidP="00F34463">
            <w:pPr>
              <w:jc w:val="center"/>
              <w:rPr>
                <w:rFonts w:ascii="Aptos" w:hAnsi="Aptos" w:cs="Calibri"/>
                <w:sz w:val="16"/>
                <w:szCs w:val="16"/>
              </w:rPr>
            </w:pPr>
            <w:r w:rsidRPr="00502593">
              <w:rPr>
                <w:rFonts w:ascii="Aptos" w:hAnsi="Aptos" w:cs="Calibri"/>
                <w:sz w:val="16"/>
                <w:szCs w:val="16"/>
              </w:rPr>
              <w:t>3 godine</w:t>
            </w:r>
          </w:p>
        </w:tc>
      </w:tr>
      <w:tr w:rsidR="00502593" w:rsidRPr="00502593" w14:paraId="2519143C" w14:textId="77777777" w:rsidTr="00F34463">
        <w:trPr>
          <w:trHeight w:val="459"/>
        </w:trPr>
        <w:tc>
          <w:tcPr>
            <w:tcW w:w="1075" w:type="dxa"/>
            <w:shd w:val="clear" w:color="auto" w:fill="D9D9D9" w:themeFill="background1" w:themeFillShade="D9"/>
            <w:vAlign w:val="center"/>
            <w:hideMark/>
          </w:tcPr>
          <w:p w14:paraId="754A4A95" w14:textId="1D3A4EF7" w:rsidR="00502593" w:rsidRPr="00502593" w:rsidRDefault="00502593" w:rsidP="00502593">
            <w:pPr>
              <w:rPr>
                <w:rFonts w:ascii="Aptos" w:hAnsi="Aptos" w:cs="Calibri"/>
                <w:b/>
                <w:bCs/>
                <w:sz w:val="16"/>
                <w:szCs w:val="16"/>
              </w:rPr>
            </w:pPr>
            <w:r w:rsidRPr="00502593">
              <w:rPr>
                <w:rFonts w:ascii="Aptos" w:hAnsi="Aptos" w:cs="Calibri"/>
                <w:b/>
                <w:bCs/>
                <w:sz w:val="16"/>
                <w:szCs w:val="16"/>
              </w:rPr>
              <w:t> </w:t>
            </w:r>
            <w:r w:rsidR="00F34463">
              <w:rPr>
                <w:rFonts w:ascii="Aptos" w:hAnsi="Aptos" w:cs="Calibri"/>
                <w:b/>
                <w:bCs/>
                <w:sz w:val="16"/>
                <w:szCs w:val="16"/>
              </w:rPr>
              <w:t>UKUPNO</w:t>
            </w:r>
          </w:p>
        </w:tc>
        <w:tc>
          <w:tcPr>
            <w:tcW w:w="1047" w:type="dxa"/>
            <w:shd w:val="clear" w:color="auto" w:fill="D9D9D9" w:themeFill="background1" w:themeFillShade="D9"/>
            <w:vAlign w:val="center"/>
            <w:hideMark/>
          </w:tcPr>
          <w:p w14:paraId="3E1C2A1F" w14:textId="4FDBE40B" w:rsidR="00502593" w:rsidRPr="00502593" w:rsidRDefault="00F34463" w:rsidP="00502593">
            <w:pPr>
              <w:jc w:val="right"/>
              <w:rPr>
                <w:rFonts w:ascii="Aptos" w:hAnsi="Aptos" w:cs="Calibri"/>
                <w:b/>
                <w:bCs/>
                <w:sz w:val="16"/>
                <w:szCs w:val="16"/>
              </w:rPr>
            </w:pPr>
            <w:r>
              <w:rPr>
                <w:rFonts w:ascii="Aptos" w:hAnsi="Aptos" w:cs="Calibri"/>
                <w:b/>
                <w:bCs/>
                <w:sz w:val="16"/>
                <w:szCs w:val="16"/>
              </w:rPr>
              <w:t>20.041,28</w:t>
            </w:r>
          </w:p>
        </w:tc>
        <w:tc>
          <w:tcPr>
            <w:tcW w:w="1046" w:type="dxa"/>
            <w:shd w:val="clear" w:color="auto" w:fill="D9D9D9" w:themeFill="background1" w:themeFillShade="D9"/>
            <w:vAlign w:val="center"/>
            <w:hideMark/>
          </w:tcPr>
          <w:p w14:paraId="5988AD2B" w14:textId="77777777" w:rsidR="00502593" w:rsidRPr="00502593" w:rsidRDefault="00502593" w:rsidP="00502593">
            <w:pPr>
              <w:jc w:val="right"/>
              <w:rPr>
                <w:rFonts w:ascii="Aptos" w:hAnsi="Aptos" w:cs="Calibri"/>
                <w:b/>
                <w:bCs/>
                <w:sz w:val="16"/>
                <w:szCs w:val="16"/>
              </w:rPr>
            </w:pPr>
            <w:r w:rsidRPr="00502593">
              <w:rPr>
                <w:rFonts w:ascii="Aptos" w:hAnsi="Aptos" w:cs="Calibri"/>
                <w:b/>
                <w:bCs/>
                <w:sz w:val="16"/>
                <w:szCs w:val="16"/>
              </w:rPr>
              <w:t>5.990,85</w:t>
            </w:r>
          </w:p>
        </w:tc>
        <w:tc>
          <w:tcPr>
            <w:tcW w:w="1242" w:type="dxa"/>
            <w:shd w:val="clear" w:color="auto" w:fill="D9D9D9" w:themeFill="background1" w:themeFillShade="D9"/>
            <w:vAlign w:val="center"/>
            <w:hideMark/>
          </w:tcPr>
          <w:p w14:paraId="6B683684" w14:textId="77777777" w:rsidR="00502593" w:rsidRPr="00502593" w:rsidRDefault="00502593" w:rsidP="00502593">
            <w:pPr>
              <w:rPr>
                <w:rFonts w:ascii="Aptos" w:hAnsi="Aptos" w:cs="Calibri"/>
                <w:b/>
                <w:bCs/>
                <w:sz w:val="16"/>
                <w:szCs w:val="16"/>
              </w:rPr>
            </w:pPr>
            <w:r w:rsidRPr="00502593">
              <w:rPr>
                <w:rFonts w:ascii="Aptos" w:hAnsi="Aptos" w:cs="Calibri"/>
                <w:b/>
                <w:bCs/>
                <w:sz w:val="16"/>
                <w:szCs w:val="16"/>
              </w:rPr>
              <w:t> </w:t>
            </w:r>
          </w:p>
        </w:tc>
        <w:tc>
          <w:tcPr>
            <w:tcW w:w="1006" w:type="dxa"/>
            <w:shd w:val="clear" w:color="auto" w:fill="D9D9D9" w:themeFill="background1" w:themeFillShade="D9"/>
            <w:vAlign w:val="center"/>
            <w:hideMark/>
          </w:tcPr>
          <w:p w14:paraId="18005560" w14:textId="77777777" w:rsidR="00502593" w:rsidRPr="00502593" w:rsidRDefault="00502593" w:rsidP="00502593">
            <w:pPr>
              <w:rPr>
                <w:rFonts w:ascii="Aptos" w:hAnsi="Aptos" w:cs="Calibri"/>
                <w:b/>
                <w:bCs/>
                <w:sz w:val="16"/>
                <w:szCs w:val="16"/>
              </w:rPr>
            </w:pPr>
            <w:r w:rsidRPr="00502593">
              <w:rPr>
                <w:rFonts w:ascii="Aptos" w:hAnsi="Aptos" w:cs="Calibri"/>
                <w:b/>
                <w:bCs/>
                <w:sz w:val="16"/>
                <w:szCs w:val="16"/>
              </w:rPr>
              <w:t> </w:t>
            </w:r>
          </w:p>
        </w:tc>
        <w:tc>
          <w:tcPr>
            <w:tcW w:w="2513" w:type="dxa"/>
            <w:shd w:val="clear" w:color="auto" w:fill="D9D9D9" w:themeFill="background1" w:themeFillShade="D9"/>
            <w:vAlign w:val="center"/>
            <w:hideMark/>
          </w:tcPr>
          <w:p w14:paraId="5FD7FB3F" w14:textId="77777777" w:rsidR="00502593" w:rsidRPr="00502593" w:rsidRDefault="00502593" w:rsidP="00502593">
            <w:pPr>
              <w:rPr>
                <w:rFonts w:ascii="Aptos" w:hAnsi="Aptos" w:cs="Calibri"/>
                <w:b/>
                <w:bCs/>
                <w:sz w:val="16"/>
                <w:szCs w:val="16"/>
              </w:rPr>
            </w:pPr>
            <w:r w:rsidRPr="00502593">
              <w:rPr>
                <w:rFonts w:ascii="Aptos" w:hAnsi="Aptos" w:cs="Calibri"/>
                <w:b/>
                <w:bCs/>
                <w:sz w:val="16"/>
                <w:szCs w:val="16"/>
              </w:rPr>
              <w:t> </w:t>
            </w:r>
          </w:p>
        </w:tc>
        <w:tc>
          <w:tcPr>
            <w:tcW w:w="1134" w:type="dxa"/>
            <w:shd w:val="clear" w:color="auto" w:fill="D9D9D9" w:themeFill="background1" w:themeFillShade="D9"/>
            <w:noWrap/>
            <w:vAlign w:val="center"/>
            <w:hideMark/>
          </w:tcPr>
          <w:p w14:paraId="7BCE82A4" w14:textId="77777777" w:rsidR="00502593" w:rsidRPr="00502593" w:rsidRDefault="00502593" w:rsidP="00502593">
            <w:pPr>
              <w:jc w:val="right"/>
              <w:rPr>
                <w:rFonts w:ascii="Aptos" w:hAnsi="Aptos" w:cs="Calibri"/>
                <w:b/>
                <w:bCs/>
                <w:sz w:val="16"/>
                <w:szCs w:val="16"/>
              </w:rPr>
            </w:pPr>
            <w:r w:rsidRPr="00502593">
              <w:rPr>
                <w:rFonts w:ascii="Aptos" w:hAnsi="Aptos" w:cs="Calibri"/>
                <w:b/>
                <w:bCs/>
                <w:sz w:val="16"/>
                <w:szCs w:val="16"/>
              </w:rPr>
              <w:t>26.059,13</w:t>
            </w:r>
          </w:p>
        </w:tc>
        <w:tc>
          <w:tcPr>
            <w:tcW w:w="1002" w:type="dxa"/>
            <w:shd w:val="clear" w:color="auto" w:fill="D9D9D9" w:themeFill="background1" w:themeFillShade="D9"/>
            <w:noWrap/>
            <w:vAlign w:val="center"/>
            <w:hideMark/>
          </w:tcPr>
          <w:p w14:paraId="3151AAFA" w14:textId="77777777" w:rsidR="00502593" w:rsidRPr="00502593" w:rsidRDefault="00502593" w:rsidP="00502593">
            <w:pPr>
              <w:rPr>
                <w:rFonts w:ascii="Aptos" w:hAnsi="Aptos" w:cs="Calibri"/>
                <w:b/>
                <w:bCs/>
                <w:sz w:val="16"/>
                <w:szCs w:val="16"/>
              </w:rPr>
            </w:pPr>
            <w:r w:rsidRPr="00502593">
              <w:rPr>
                <w:rFonts w:ascii="Aptos" w:hAnsi="Aptos" w:cs="Calibri"/>
                <w:b/>
                <w:bCs/>
                <w:sz w:val="16"/>
                <w:szCs w:val="16"/>
              </w:rPr>
              <w:t> </w:t>
            </w:r>
          </w:p>
        </w:tc>
      </w:tr>
    </w:tbl>
    <w:p w14:paraId="65C318D7" w14:textId="54E6C4E2" w:rsidR="0074669D" w:rsidRPr="00F61B8D" w:rsidRDefault="0074669D" w:rsidP="00046692">
      <w:pPr>
        <w:pStyle w:val="Uvuenotijeloteksta"/>
        <w:tabs>
          <w:tab w:val="left" w:pos="360"/>
        </w:tabs>
        <w:spacing w:before="60" w:after="60"/>
        <w:ind w:right="-567" w:firstLine="0"/>
        <w:rPr>
          <w:rFonts w:ascii="Aptos" w:hAnsi="Aptos"/>
          <w:color w:val="FF0000"/>
          <w:sz w:val="22"/>
          <w:szCs w:val="22"/>
        </w:rPr>
      </w:pPr>
    </w:p>
    <w:p w14:paraId="3A19ED5C" w14:textId="7FD07705" w:rsidR="006202F0" w:rsidRPr="00F61B8D" w:rsidRDefault="0097188E" w:rsidP="00604FDB">
      <w:pPr>
        <w:shd w:val="clear" w:color="auto" w:fill="D9D9D9" w:themeFill="background1" w:themeFillShade="D9"/>
        <w:spacing w:before="60" w:after="60"/>
        <w:ind w:left="-425" w:right="-380"/>
        <w:jc w:val="both"/>
        <w:rPr>
          <w:rFonts w:ascii="Aptos" w:hAnsi="Aptos" w:cstheme="minorHAnsi"/>
          <w:b/>
          <w:sz w:val="22"/>
          <w:szCs w:val="22"/>
        </w:rPr>
      </w:pPr>
      <w:r w:rsidRPr="00F61B8D">
        <w:rPr>
          <w:rFonts w:ascii="Aptos" w:hAnsi="Aptos" w:cstheme="minorHAnsi"/>
          <w:b/>
          <w:sz w:val="22"/>
          <w:szCs w:val="22"/>
        </w:rPr>
        <w:t>C</w:t>
      </w:r>
      <w:r w:rsidR="006202F0" w:rsidRPr="00F61B8D">
        <w:rPr>
          <w:rFonts w:ascii="Aptos" w:hAnsi="Aptos" w:cstheme="minorHAnsi"/>
          <w:b/>
          <w:sz w:val="22"/>
          <w:szCs w:val="22"/>
        </w:rPr>
        <w:t>/  BILJEŠKE UZ</w:t>
      </w:r>
      <w:r w:rsidR="00336844" w:rsidRPr="00F61B8D">
        <w:rPr>
          <w:rFonts w:ascii="Aptos" w:hAnsi="Aptos" w:cstheme="minorHAnsi"/>
          <w:b/>
          <w:sz w:val="22"/>
          <w:szCs w:val="22"/>
        </w:rPr>
        <w:t xml:space="preserve"> IZVJEŠTAJ O PROMJENAMA U VRIJEDNOSTI I OBUJMU IMOVINE I OBVEZA</w:t>
      </w:r>
    </w:p>
    <w:p w14:paraId="58B6DD20" w14:textId="3081D133" w:rsidR="00DC7B73" w:rsidRPr="00DC7B73" w:rsidRDefault="00DC7B73" w:rsidP="00DC7B73">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w:t>
      </w:r>
      <w:r w:rsidRPr="00F61B8D">
        <w:rPr>
          <w:rFonts w:ascii="Aptos" w:hAnsi="Aptos" w:cs="Calibri"/>
          <w:b/>
          <w:bCs/>
          <w:color w:val="000000"/>
          <w:sz w:val="22"/>
          <w:szCs w:val="22"/>
        </w:rPr>
        <w:t>.</w:t>
      </w:r>
    </w:p>
    <w:p w14:paraId="5FC09E02" w14:textId="541D5B3F" w:rsidR="00290BDA" w:rsidRDefault="0011743A" w:rsidP="00290BDA">
      <w:pPr>
        <w:spacing w:before="60" w:after="60"/>
        <w:ind w:left="-425" w:right="-380" w:firstLine="284"/>
        <w:jc w:val="both"/>
        <w:rPr>
          <w:rFonts w:ascii="Aptos" w:hAnsi="Aptos" w:cstheme="minorHAnsi"/>
          <w:sz w:val="22"/>
          <w:szCs w:val="22"/>
        </w:rPr>
      </w:pPr>
      <w:r w:rsidRPr="00F61B8D">
        <w:rPr>
          <w:rFonts w:ascii="Aptos" w:hAnsi="Aptos" w:cstheme="minorHAnsi"/>
          <w:sz w:val="22"/>
          <w:szCs w:val="22"/>
        </w:rPr>
        <w:t>U ovom izvještajnom razdoblju u</w:t>
      </w:r>
      <w:r w:rsidR="0011324C" w:rsidRPr="00F61B8D">
        <w:rPr>
          <w:rFonts w:ascii="Aptos" w:hAnsi="Aptos" w:cstheme="minorHAnsi"/>
          <w:sz w:val="22"/>
          <w:szCs w:val="22"/>
        </w:rPr>
        <w:t xml:space="preserve"> </w:t>
      </w:r>
      <w:r w:rsidR="00154838" w:rsidRPr="00F61B8D">
        <w:rPr>
          <w:rFonts w:ascii="Aptos" w:hAnsi="Aptos" w:cstheme="minorHAnsi"/>
          <w:sz w:val="22"/>
          <w:szCs w:val="22"/>
        </w:rPr>
        <w:t>Izvještaju o promjenama u vrijednosti i obujmu imovine i obveza</w:t>
      </w:r>
      <w:r w:rsidR="0011324C" w:rsidRPr="00F61B8D">
        <w:rPr>
          <w:rFonts w:ascii="Aptos" w:hAnsi="Aptos" w:cstheme="minorHAnsi"/>
          <w:sz w:val="22"/>
          <w:szCs w:val="22"/>
        </w:rPr>
        <w:t xml:space="preserve"> za 202</w:t>
      </w:r>
      <w:r w:rsidR="00C73F9F">
        <w:rPr>
          <w:rFonts w:ascii="Aptos" w:hAnsi="Aptos" w:cstheme="minorHAnsi"/>
          <w:sz w:val="22"/>
          <w:szCs w:val="22"/>
        </w:rPr>
        <w:t>3</w:t>
      </w:r>
      <w:r w:rsidR="0011324C" w:rsidRPr="00F61B8D">
        <w:rPr>
          <w:rFonts w:ascii="Aptos" w:hAnsi="Aptos" w:cstheme="minorHAnsi"/>
          <w:sz w:val="22"/>
          <w:szCs w:val="22"/>
        </w:rPr>
        <w:t>. godinu iskazane su promjene uslijed povećanja odnosno smanjen</w:t>
      </w:r>
      <w:r w:rsidRPr="00F61B8D">
        <w:rPr>
          <w:rFonts w:ascii="Aptos" w:hAnsi="Aptos" w:cstheme="minorHAnsi"/>
          <w:sz w:val="22"/>
          <w:szCs w:val="22"/>
        </w:rPr>
        <w:t xml:space="preserve">ja </w:t>
      </w:r>
      <w:r w:rsidR="0011324C" w:rsidRPr="00F61B8D">
        <w:rPr>
          <w:rFonts w:ascii="Aptos" w:hAnsi="Aptos" w:cstheme="minorHAnsi"/>
          <w:sz w:val="22"/>
          <w:szCs w:val="22"/>
        </w:rPr>
        <w:t>obujma</w:t>
      </w:r>
      <w:r w:rsidR="00154838" w:rsidRPr="00F61B8D">
        <w:rPr>
          <w:rFonts w:ascii="Aptos" w:hAnsi="Aptos" w:cstheme="minorHAnsi"/>
          <w:sz w:val="22"/>
          <w:szCs w:val="22"/>
        </w:rPr>
        <w:t xml:space="preserve"> nefinancijske imovine te smanjenja u obujmu financijske imovine, kako slijedi:</w:t>
      </w:r>
    </w:p>
    <w:tbl>
      <w:tblPr>
        <w:tblW w:w="9707" w:type="dxa"/>
        <w:tblInd w:w="-289" w:type="dxa"/>
        <w:tblLook w:val="04A0" w:firstRow="1" w:lastRow="0" w:firstColumn="1" w:lastColumn="0" w:noHBand="0" w:noVBand="1"/>
      </w:tblPr>
      <w:tblGrid>
        <w:gridCol w:w="851"/>
        <w:gridCol w:w="5103"/>
        <w:gridCol w:w="1984"/>
        <w:gridCol w:w="1769"/>
      </w:tblGrid>
      <w:tr w:rsidR="00290BDA" w:rsidRPr="00290BDA" w14:paraId="46566378" w14:textId="77777777" w:rsidTr="00290BDA">
        <w:trPr>
          <w:trHeight w:val="288"/>
        </w:trPr>
        <w:tc>
          <w:tcPr>
            <w:tcW w:w="851" w:type="dxa"/>
            <w:tcBorders>
              <w:top w:val="single" w:sz="4" w:space="0" w:color="auto"/>
              <w:left w:val="single" w:sz="4" w:space="0" w:color="auto"/>
              <w:bottom w:val="single" w:sz="4" w:space="0" w:color="auto"/>
              <w:right w:val="single" w:sz="4" w:space="0" w:color="auto"/>
            </w:tcBorders>
            <w:shd w:val="clear" w:color="5B9BD5" w:fill="D9D9D9"/>
            <w:noWrap/>
            <w:vAlign w:val="center"/>
            <w:hideMark/>
          </w:tcPr>
          <w:p w14:paraId="0156ADDE" w14:textId="77777777" w:rsidR="00290BDA" w:rsidRPr="00290BDA" w:rsidRDefault="00290BDA" w:rsidP="00290BDA">
            <w:pPr>
              <w:jc w:val="center"/>
              <w:rPr>
                <w:rFonts w:ascii="Aptos" w:hAnsi="Aptos" w:cs="Calibri"/>
                <w:b/>
                <w:bCs/>
                <w:sz w:val="18"/>
                <w:szCs w:val="18"/>
              </w:rPr>
            </w:pPr>
            <w:r w:rsidRPr="00290BDA">
              <w:rPr>
                <w:rFonts w:ascii="Aptos" w:hAnsi="Aptos" w:cs="Calibri"/>
                <w:b/>
                <w:bCs/>
                <w:sz w:val="18"/>
                <w:szCs w:val="18"/>
              </w:rPr>
              <w:t>ŠIFRA</w:t>
            </w:r>
          </w:p>
        </w:tc>
        <w:tc>
          <w:tcPr>
            <w:tcW w:w="51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58D35E" w14:textId="77777777" w:rsidR="00290BDA" w:rsidRPr="00290BDA" w:rsidRDefault="00290BDA" w:rsidP="00290BDA">
            <w:pPr>
              <w:jc w:val="center"/>
              <w:rPr>
                <w:rFonts w:ascii="Aptos" w:hAnsi="Aptos" w:cs="Calibri"/>
                <w:b/>
                <w:bCs/>
                <w:sz w:val="18"/>
                <w:szCs w:val="18"/>
              </w:rPr>
            </w:pPr>
            <w:r w:rsidRPr="00290BDA">
              <w:rPr>
                <w:rFonts w:ascii="Aptos" w:hAnsi="Aptos" w:cs="Calibri"/>
                <w:b/>
                <w:bCs/>
                <w:sz w:val="18"/>
                <w:szCs w:val="18"/>
              </w:rPr>
              <w:t>OPIS PROMJENE</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1C66A" w14:textId="77777777" w:rsidR="00290BDA" w:rsidRPr="00290BDA" w:rsidRDefault="00290BDA" w:rsidP="00290BDA">
            <w:pPr>
              <w:jc w:val="center"/>
              <w:rPr>
                <w:rFonts w:ascii="Aptos" w:hAnsi="Aptos" w:cs="Calibri"/>
                <w:b/>
                <w:bCs/>
                <w:sz w:val="18"/>
                <w:szCs w:val="18"/>
              </w:rPr>
            </w:pPr>
            <w:r w:rsidRPr="00290BDA">
              <w:rPr>
                <w:rFonts w:ascii="Aptos" w:hAnsi="Aptos" w:cs="Calibri"/>
                <w:b/>
                <w:bCs/>
                <w:sz w:val="18"/>
                <w:szCs w:val="18"/>
              </w:rPr>
              <w:t>POVEĆANJE</w:t>
            </w:r>
          </w:p>
        </w:tc>
        <w:tc>
          <w:tcPr>
            <w:tcW w:w="17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15D343" w14:textId="77777777" w:rsidR="00290BDA" w:rsidRPr="00290BDA" w:rsidRDefault="00290BDA" w:rsidP="00290BDA">
            <w:pPr>
              <w:jc w:val="center"/>
              <w:rPr>
                <w:rFonts w:ascii="Aptos" w:hAnsi="Aptos" w:cs="Calibri"/>
                <w:b/>
                <w:bCs/>
                <w:sz w:val="18"/>
                <w:szCs w:val="18"/>
              </w:rPr>
            </w:pPr>
            <w:r w:rsidRPr="00290BDA">
              <w:rPr>
                <w:rFonts w:ascii="Aptos" w:hAnsi="Aptos" w:cs="Calibri"/>
                <w:b/>
                <w:bCs/>
                <w:sz w:val="18"/>
                <w:szCs w:val="18"/>
              </w:rPr>
              <w:t>SMANJENJE</w:t>
            </w:r>
          </w:p>
        </w:tc>
      </w:tr>
      <w:tr w:rsidR="00290BDA" w:rsidRPr="00290BDA" w14:paraId="5B847C11"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32B9EC"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P017</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38FF0"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Uknjiženje zemljišta i usklađenje s Registrom nekretnina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5D81B"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7.306.707,29</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06F8D"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r>
      <w:tr w:rsidR="00290BDA" w:rsidRPr="00290BDA" w14:paraId="0AF149E5"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987E28"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P017</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802C"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Prijenos prava vlasništva bez naknade na ŽUC PGŽ, KLASA: 940-01/23-01/14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E084D"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15687"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46.239,84</w:t>
            </w:r>
          </w:p>
        </w:tc>
      </w:tr>
      <w:tr w:rsidR="00290BDA" w:rsidRPr="00290BDA" w14:paraId="7F504B88"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AC894A"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P017</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D771"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 xml:space="preserve">Rješenje o ostavinskom postupku naslijeđena </w:t>
            </w:r>
            <w:proofErr w:type="spellStart"/>
            <w:r w:rsidRPr="00290BDA">
              <w:rPr>
                <w:rFonts w:ascii="Aptos" w:hAnsi="Aptos" w:cs="Calibri"/>
                <w:color w:val="000000"/>
                <w:sz w:val="18"/>
                <w:szCs w:val="18"/>
              </w:rPr>
              <w:t>k.č</w:t>
            </w:r>
            <w:proofErr w:type="spellEnd"/>
            <w:r w:rsidRPr="00290BDA">
              <w:rPr>
                <w:rFonts w:ascii="Aptos" w:hAnsi="Aptos" w:cs="Calibri"/>
                <w:color w:val="000000"/>
                <w:sz w:val="18"/>
                <w:szCs w:val="18"/>
              </w:rPr>
              <w:t>. 2025/2 k.o. Bakar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D1A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1.035,00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CF2E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r>
      <w:tr w:rsidR="00290BDA" w:rsidRPr="00290BDA" w14:paraId="1E67FA1C"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66E8DA7"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P017</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D1337"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 xml:space="preserve">Ugovor o darovanju KLASA: 945-01/19-01/10, plato bivše Koksare, </w:t>
            </w:r>
            <w:proofErr w:type="spellStart"/>
            <w:r w:rsidRPr="00290BDA">
              <w:rPr>
                <w:rFonts w:ascii="Aptos" w:hAnsi="Aptos" w:cs="Calibri"/>
                <w:color w:val="000000"/>
                <w:sz w:val="18"/>
                <w:szCs w:val="18"/>
              </w:rPr>
              <w:t>k.č</w:t>
            </w:r>
            <w:proofErr w:type="spellEnd"/>
            <w:r w:rsidRPr="00290BDA">
              <w:rPr>
                <w:rFonts w:ascii="Aptos" w:hAnsi="Aptos" w:cs="Calibri"/>
                <w:color w:val="000000"/>
                <w:sz w:val="18"/>
                <w:szCs w:val="18"/>
              </w:rPr>
              <w:t>. 2925/1, 2925/7, 2925/8, 2925/9 i 2925/5 k.o. Bakar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6ECC3"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4.922.688,96</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CF20"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r>
      <w:tr w:rsidR="00290BDA" w:rsidRPr="00290BDA" w14:paraId="19B4182B"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F2C4D6"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PO18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61638"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 xml:space="preserve">Informatička oprema - prijenos prava vlasništva od Ministarstva </w:t>
            </w:r>
            <w:proofErr w:type="spellStart"/>
            <w:r w:rsidRPr="00290BDA">
              <w:rPr>
                <w:rFonts w:ascii="Aptos" w:hAnsi="Aptos" w:cs="Calibri"/>
                <w:color w:val="000000"/>
                <w:sz w:val="18"/>
                <w:szCs w:val="18"/>
              </w:rPr>
              <w:t>pros</w:t>
            </w:r>
            <w:proofErr w:type="spellEnd"/>
            <w:r w:rsidRPr="00290BDA">
              <w:rPr>
                <w:rFonts w:ascii="Aptos" w:hAnsi="Aptos" w:cs="Calibri"/>
                <w:color w:val="000000"/>
                <w:sz w:val="18"/>
                <w:szCs w:val="18"/>
              </w:rPr>
              <w:t>. uređenja, graditeljstva i državne imovine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18F7"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1.365,89</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DA587"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r>
      <w:tr w:rsidR="00290BDA" w:rsidRPr="00290BDA" w14:paraId="406B2467"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0FE138"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PO18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F2A4"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Prodaja službenih automobila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5A7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8503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3.075,13</w:t>
            </w:r>
          </w:p>
        </w:tc>
      </w:tr>
      <w:tr w:rsidR="00290BDA" w:rsidRPr="00290BDA" w14:paraId="32301008"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606100"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PO29</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382F"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Otpis potraživanja u postupku godišnjeg popisa imovine, potraživanja i obveza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62E3B"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4807"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268,97</w:t>
            </w:r>
          </w:p>
        </w:tc>
      </w:tr>
      <w:tr w:rsidR="00290BDA" w:rsidRPr="00290BDA" w14:paraId="6E156790"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E3D46D"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PO28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94B6A"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Smanjenje temeljnog kapitala sukladno Odluci o usklađenju iznosa temeljnog kapitala i poslovnog udjela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F80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EDCB2"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1,51</w:t>
            </w:r>
          </w:p>
        </w:tc>
      </w:tr>
      <w:tr w:rsidR="00290BDA" w:rsidRPr="00290BDA" w14:paraId="51A98A17"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632E36B"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PO18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4D20"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Otpis opreme u postupku godišnjeg popisa imovine, potraživanja i obveza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8284"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DDD25"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304,14</w:t>
            </w:r>
          </w:p>
        </w:tc>
      </w:tr>
      <w:tr w:rsidR="00290BDA" w:rsidRPr="00290BDA" w14:paraId="1A3989FE" w14:textId="77777777" w:rsidTr="00290BDA">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023704B" w14:textId="77777777" w:rsidR="00290BDA" w:rsidRPr="00290BDA" w:rsidRDefault="00290BDA" w:rsidP="00290BDA">
            <w:pPr>
              <w:jc w:val="center"/>
              <w:rPr>
                <w:rFonts w:ascii="Aptos" w:hAnsi="Aptos" w:cs="Calibri"/>
                <w:color w:val="000000"/>
                <w:sz w:val="18"/>
                <w:szCs w:val="18"/>
              </w:rPr>
            </w:pPr>
            <w:r w:rsidRPr="00290BDA">
              <w:rPr>
                <w:rFonts w:ascii="Aptos" w:hAnsi="Aptos" w:cs="Calibri"/>
                <w:color w:val="000000"/>
                <w:sz w:val="18"/>
                <w:szCs w:val="18"/>
              </w:rPr>
              <w:t>PO18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D938" w14:textId="77777777" w:rsidR="00290BDA" w:rsidRPr="00290BDA" w:rsidRDefault="00290BDA" w:rsidP="00290BDA">
            <w:pPr>
              <w:rPr>
                <w:rFonts w:ascii="Aptos" w:hAnsi="Aptos" w:cs="Calibri"/>
                <w:color w:val="000000"/>
                <w:sz w:val="18"/>
                <w:szCs w:val="18"/>
              </w:rPr>
            </w:pPr>
            <w:proofErr w:type="spellStart"/>
            <w:r w:rsidRPr="00290BDA">
              <w:rPr>
                <w:rFonts w:ascii="Aptos" w:hAnsi="Aptos" w:cs="Calibri"/>
                <w:color w:val="000000"/>
                <w:sz w:val="18"/>
                <w:szCs w:val="18"/>
              </w:rPr>
              <w:t>Isknjiženje</w:t>
            </w:r>
            <w:proofErr w:type="spellEnd"/>
            <w:r w:rsidRPr="00290BDA">
              <w:rPr>
                <w:rFonts w:ascii="Aptos" w:hAnsi="Aptos" w:cs="Calibri"/>
                <w:color w:val="000000"/>
                <w:sz w:val="18"/>
                <w:szCs w:val="18"/>
              </w:rPr>
              <w:t xml:space="preserve"> spremnika za otpad  prema Odluci KLASA: 024-03/23-01/23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0971"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8148E" w14:textId="77777777" w:rsidR="00290BDA" w:rsidRPr="00290BDA" w:rsidRDefault="00290BDA" w:rsidP="00290BDA">
            <w:pPr>
              <w:jc w:val="right"/>
              <w:rPr>
                <w:rFonts w:ascii="Aptos" w:hAnsi="Aptos" w:cs="Calibri"/>
                <w:color w:val="000000"/>
                <w:sz w:val="18"/>
                <w:szCs w:val="18"/>
              </w:rPr>
            </w:pPr>
            <w:r w:rsidRPr="00290BDA">
              <w:rPr>
                <w:rFonts w:ascii="Aptos" w:hAnsi="Aptos" w:cs="Calibri"/>
                <w:color w:val="000000"/>
                <w:sz w:val="18"/>
                <w:szCs w:val="18"/>
              </w:rPr>
              <w:t>12.130,88</w:t>
            </w:r>
          </w:p>
        </w:tc>
      </w:tr>
      <w:tr w:rsidR="00290BDA" w:rsidRPr="00290BDA" w14:paraId="71A148A0" w14:textId="77777777" w:rsidTr="00290BDA">
        <w:trPr>
          <w:trHeight w:val="288"/>
        </w:trPr>
        <w:tc>
          <w:tcPr>
            <w:tcW w:w="851" w:type="dxa"/>
            <w:tcBorders>
              <w:top w:val="nil"/>
              <w:left w:val="single" w:sz="4" w:space="0" w:color="auto"/>
              <w:bottom w:val="single" w:sz="4" w:space="0" w:color="auto"/>
              <w:right w:val="single" w:sz="4" w:space="0" w:color="auto"/>
            </w:tcBorders>
            <w:shd w:val="clear" w:color="000000" w:fill="D9D9D9"/>
            <w:noWrap/>
            <w:vAlign w:val="bottom"/>
            <w:hideMark/>
          </w:tcPr>
          <w:p w14:paraId="2C6F993C" w14:textId="77777777" w:rsidR="00290BDA" w:rsidRPr="00290BDA" w:rsidRDefault="00290BDA" w:rsidP="00290BDA">
            <w:pPr>
              <w:rPr>
                <w:rFonts w:ascii="Aptos" w:hAnsi="Aptos" w:cs="Calibri"/>
                <w:color w:val="000000"/>
                <w:sz w:val="18"/>
                <w:szCs w:val="18"/>
              </w:rPr>
            </w:pPr>
            <w:r w:rsidRPr="00290BDA">
              <w:rPr>
                <w:rFonts w:ascii="Aptos" w:hAnsi="Aptos" w:cs="Calibri"/>
                <w:color w:val="000000"/>
                <w:sz w:val="18"/>
                <w:szCs w:val="18"/>
              </w:rPr>
              <w:t> </w:t>
            </w:r>
          </w:p>
        </w:tc>
        <w:tc>
          <w:tcPr>
            <w:tcW w:w="51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5662F8" w14:textId="77777777" w:rsidR="00290BDA" w:rsidRPr="00290BDA" w:rsidRDefault="00290BDA" w:rsidP="00290BDA">
            <w:pPr>
              <w:rPr>
                <w:rFonts w:ascii="Aptos" w:hAnsi="Aptos" w:cs="Calibri"/>
                <w:b/>
                <w:bCs/>
                <w:color w:val="000000"/>
                <w:sz w:val="18"/>
                <w:szCs w:val="18"/>
              </w:rPr>
            </w:pPr>
            <w:r w:rsidRPr="00290BDA">
              <w:rPr>
                <w:rFonts w:ascii="Aptos" w:hAnsi="Aptos" w:cs="Calibri"/>
                <w:b/>
                <w:bCs/>
                <w:color w:val="000000"/>
                <w:sz w:val="18"/>
                <w:szCs w:val="18"/>
              </w:rPr>
              <w:t>UKUPNO</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1FAB92" w14:textId="77777777" w:rsidR="00290BDA" w:rsidRPr="00290BDA" w:rsidRDefault="00290BDA" w:rsidP="00290BDA">
            <w:pPr>
              <w:jc w:val="right"/>
              <w:rPr>
                <w:rFonts w:ascii="Aptos" w:hAnsi="Aptos" w:cs="Calibri"/>
                <w:b/>
                <w:bCs/>
                <w:color w:val="000000"/>
                <w:sz w:val="18"/>
                <w:szCs w:val="18"/>
              </w:rPr>
            </w:pPr>
            <w:r w:rsidRPr="00290BDA">
              <w:rPr>
                <w:rFonts w:ascii="Aptos" w:hAnsi="Aptos" w:cs="Calibri"/>
                <w:b/>
                <w:bCs/>
                <w:color w:val="000000"/>
                <w:sz w:val="18"/>
                <w:szCs w:val="18"/>
              </w:rPr>
              <w:t>12.231.797,14</w:t>
            </w:r>
          </w:p>
        </w:tc>
        <w:tc>
          <w:tcPr>
            <w:tcW w:w="17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05D3F5" w14:textId="77777777" w:rsidR="00290BDA" w:rsidRPr="00290BDA" w:rsidRDefault="00290BDA" w:rsidP="00290BDA">
            <w:pPr>
              <w:jc w:val="right"/>
              <w:rPr>
                <w:rFonts w:ascii="Aptos" w:hAnsi="Aptos" w:cs="Calibri"/>
                <w:b/>
                <w:bCs/>
                <w:color w:val="000000"/>
                <w:sz w:val="18"/>
                <w:szCs w:val="18"/>
              </w:rPr>
            </w:pPr>
            <w:r w:rsidRPr="00290BDA">
              <w:rPr>
                <w:rFonts w:ascii="Aptos" w:hAnsi="Aptos" w:cs="Calibri"/>
                <w:b/>
                <w:bCs/>
                <w:color w:val="000000"/>
                <w:sz w:val="18"/>
                <w:szCs w:val="18"/>
              </w:rPr>
              <w:t>62.020,47</w:t>
            </w:r>
          </w:p>
        </w:tc>
      </w:tr>
    </w:tbl>
    <w:p w14:paraId="48E351D4" w14:textId="53C70A94" w:rsidR="00CF7F51" w:rsidRDefault="00CF7F51" w:rsidP="00CF7F51">
      <w:pPr>
        <w:pStyle w:val="Zaglavlje"/>
        <w:tabs>
          <w:tab w:val="clear" w:pos="4320"/>
          <w:tab w:val="clear" w:pos="8640"/>
        </w:tabs>
        <w:jc w:val="both"/>
        <w:rPr>
          <w:rFonts w:ascii="Aptos" w:hAnsi="Aptos"/>
          <w:sz w:val="22"/>
          <w:szCs w:val="22"/>
          <w:lang w:val="en-AU"/>
        </w:rPr>
      </w:pPr>
    </w:p>
    <w:p w14:paraId="4286CEEA" w14:textId="77777777" w:rsidR="009D4863" w:rsidRPr="00F61B8D" w:rsidRDefault="009D4863" w:rsidP="00CF7F51">
      <w:pPr>
        <w:pStyle w:val="Zaglavlje"/>
        <w:tabs>
          <w:tab w:val="clear" w:pos="4320"/>
          <w:tab w:val="clear" w:pos="8640"/>
        </w:tabs>
        <w:jc w:val="both"/>
        <w:rPr>
          <w:rFonts w:ascii="Aptos" w:hAnsi="Aptos"/>
          <w:sz w:val="22"/>
          <w:szCs w:val="22"/>
          <w:lang w:val="en-AU"/>
        </w:rPr>
      </w:pPr>
    </w:p>
    <w:p w14:paraId="5A962466" w14:textId="4BC1AF3C" w:rsidR="006202F0" w:rsidRPr="00F61B8D" w:rsidRDefault="00290BDA" w:rsidP="00604FDB">
      <w:pPr>
        <w:shd w:val="clear" w:color="auto" w:fill="D9D9D9" w:themeFill="background1" w:themeFillShade="D9"/>
        <w:spacing w:before="60" w:after="60"/>
        <w:ind w:left="-425" w:right="-380"/>
        <w:jc w:val="both"/>
        <w:rPr>
          <w:rFonts w:ascii="Aptos" w:hAnsi="Aptos" w:cstheme="minorHAnsi"/>
          <w:b/>
          <w:sz w:val="22"/>
          <w:szCs w:val="22"/>
        </w:rPr>
      </w:pPr>
      <w:r>
        <w:rPr>
          <w:rFonts w:ascii="Aptos" w:hAnsi="Aptos" w:cstheme="minorHAnsi"/>
          <w:b/>
          <w:sz w:val="22"/>
          <w:szCs w:val="22"/>
        </w:rPr>
        <w:lastRenderedPageBreak/>
        <w:t>D</w:t>
      </w:r>
      <w:r w:rsidR="006202F0" w:rsidRPr="00F61B8D">
        <w:rPr>
          <w:rFonts w:ascii="Aptos" w:hAnsi="Aptos" w:cstheme="minorHAnsi"/>
          <w:b/>
          <w:sz w:val="22"/>
          <w:szCs w:val="22"/>
        </w:rPr>
        <w:t xml:space="preserve">/  BILJEŠKE UZ IZVJEŠTAJ O OBVEZAMA  </w:t>
      </w:r>
    </w:p>
    <w:p w14:paraId="652692C7" w14:textId="305CC167" w:rsidR="00290BDA" w:rsidRPr="00290BDA" w:rsidRDefault="00290BDA" w:rsidP="00290BDA">
      <w:pPr>
        <w:spacing w:before="80" w:after="80"/>
        <w:ind w:left="-425" w:right="-380" w:firstLine="284"/>
        <w:jc w:val="center"/>
        <w:rPr>
          <w:rFonts w:ascii="Aptos" w:hAnsi="Aptos" w:cs="Calibri"/>
          <w:b/>
          <w:bCs/>
          <w:color w:val="000000"/>
          <w:sz w:val="22"/>
          <w:szCs w:val="22"/>
        </w:rPr>
      </w:pPr>
      <w:r w:rsidRPr="00F61B8D">
        <w:rPr>
          <w:rFonts w:ascii="Aptos" w:hAnsi="Aptos" w:cs="Calibri"/>
          <w:b/>
          <w:bCs/>
          <w:color w:val="000000"/>
          <w:sz w:val="22"/>
          <w:szCs w:val="22"/>
        </w:rPr>
        <w:t xml:space="preserve">Bilješka </w:t>
      </w:r>
      <w:r>
        <w:rPr>
          <w:rFonts w:ascii="Aptos" w:hAnsi="Aptos" w:cs="Calibri"/>
          <w:b/>
          <w:bCs/>
          <w:color w:val="000000"/>
          <w:sz w:val="22"/>
          <w:szCs w:val="22"/>
        </w:rPr>
        <w:t>1</w:t>
      </w:r>
      <w:r w:rsidRPr="00F61B8D">
        <w:rPr>
          <w:rFonts w:ascii="Aptos" w:hAnsi="Aptos" w:cs="Calibri"/>
          <w:b/>
          <w:bCs/>
          <w:color w:val="000000"/>
          <w:sz w:val="22"/>
          <w:szCs w:val="22"/>
        </w:rPr>
        <w:t>.</w:t>
      </w:r>
    </w:p>
    <w:p w14:paraId="4B1A30AF" w14:textId="21B7A1E6" w:rsidR="00290BDA" w:rsidRPr="00290BDA" w:rsidRDefault="00290BDA" w:rsidP="00290BDA">
      <w:pPr>
        <w:spacing w:before="60" w:after="60"/>
        <w:ind w:left="-425" w:right="-380" w:firstLine="284"/>
        <w:jc w:val="both"/>
        <w:rPr>
          <w:rFonts w:ascii="Aptos" w:hAnsi="Aptos" w:cstheme="minorHAnsi"/>
          <w:sz w:val="22"/>
          <w:szCs w:val="22"/>
        </w:rPr>
      </w:pPr>
      <w:r w:rsidRPr="00290BDA">
        <w:rPr>
          <w:rFonts w:ascii="Aptos" w:hAnsi="Aptos" w:cstheme="minorHAnsi"/>
          <w:sz w:val="22"/>
          <w:szCs w:val="22"/>
        </w:rPr>
        <w:t xml:space="preserve">U izvještajnom razdoblju povećanje obveza </w:t>
      </w:r>
      <w:r w:rsidR="003B6403">
        <w:rPr>
          <w:rFonts w:ascii="Aptos" w:hAnsi="Aptos" w:cstheme="minorHAnsi"/>
          <w:sz w:val="22"/>
          <w:szCs w:val="22"/>
        </w:rPr>
        <w:t xml:space="preserve">- </w:t>
      </w:r>
      <w:r w:rsidRPr="00290BDA">
        <w:rPr>
          <w:rFonts w:ascii="Aptos" w:hAnsi="Aptos" w:cstheme="minorHAnsi"/>
          <w:sz w:val="22"/>
          <w:szCs w:val="22"/>
        </w:rPr>
        <w:t xml:space="preserve">šifra V002 u iznosu od </w:t>
      </w:r>
      <w:r>
        <w:rPr>
          <w:rFonts w:ascii="Aptos" w:hAnsi="Aptos" w:cstheme="minorHAnsi"/>
          <w:sz w:val="22"/>
          <w:szCs w:val="22"/>
        </w:rPr>
        <w:t xml:space="preserve">9.945.106,49 </w:t>
      </w:r>
      <w:r w:rsidRPr="00290BDA">
        <w:rPr>
          <w:rFonts w:ascii="Aptos" w:hAnsi="Aptos" w:cstheme="minorHAnsi"/>
          <w:sz w:val="22"/>
          <w:szCs w:val="22"/>
        </w:rPr>
        <w:t>€ obuhvaća</w:t>
      </w:r>
      <w:r>
        <w:rPr>
          <w:rFonts w:ascii="Aptos" w:hAnsi="Aptos" w:cstheme="minorHAnsi"/>
          <w:sz w:val="22"/>
          <w:szCs w:val="22"/>
        </w:rPr>
        <w:t xml:space="preserve"> obveze za rashode poslovanja u iznosu od 5.669.939,66 €</w:t>
      </w:r>
      <w:r w:rsidR="003B6403">
        <w:rPr>
          <w:rFonts w:ascii="Aptos" w:hAnsi="Aptos" w:cstheme="minorHAnsi"/>
          <w:sz w:val="22"/>
          <w:szCs w:val="22"/>
        </w:rPr>
        <w:t>, obveze za nabavu nefinancijske imovine u iznosu od 4.073.259,07 € te obveze za financijsku imovinu u iznosu od 201.907,76 €.</w:t>
      </w:r>
    </w:p>
    <w:p w14:paraId="61E6A590" w14:textId="77777777" w:rsidR="00290BDA" w:rsidRPr="008F39B0" w:rsidRDefault="00290BDA" w:rsidP="00290BDA">
      <w:pPr>
        <w:spacing w:before="80" w:after="80"/>
        <w:ind w:left="-425" w:right="-380" w:firstLine="284"/>
        <w:jc w:val="center"/>
        <w:rPr>
          <w:rFonts w:ascii="Ebrima" w:hAnsi="Ebrima" w:cs="Calibri"/>
          <w:b/>
          <w:bCs/>
          <w:color w:val="000000"/>
          <w:sz w:val="18"/>
          <w:szCs w:val="18"/>
        </w:rPr>
      </w:pPr>
      <w:r w:rsidRPr="003B6403">
        <w:rPr>
          <w:rFonts w:ascii="Aptos" w:hAnsi="Aptos" w:cs="Calibri"/>
          <w:b/>
          <w:bCs/>
          <w:color w:val="000000"/>
          <w:sz w:val="22"/>
          <w:szCs w:val="22"/>
        </w:rPr>
        <w:t>Bilješka 2.</w:t>
      </w:r>
    </w:p>
    <w:p w14:paraId="7CDB3FC6" w14:textId="77777777" w:rsidR="003B6403" w:rsidRDefault="00290BDA" w:rsidP="00290BDA">
      <w:pPr>
        <w:spacing w:before="60" w:after="60"/>
        <w:ind w:left="-425" w:right="-380" w:firstLine="284"/>
        <w:jc w:val="both"/>
        <w:rPr>
          <w:rFonts w:ascii="Aptos" w:hAnsi="Aptos" w:cstheme="minorHAnsi"/>
          <w:sz w:val="22"/>
          <w:szCs w:val="22"/>
        </w:rPr>
      </w:pPr>
      <w:r w:rsidRPr="003B6403">
        <w:rPr>
          <w:rFonts w:ascii="Aptos" w:hAnsi="Aptos" w:cstheme="minorHAnsi"/>
          <w:sz w:val="22"/>
          <w:szCs w:val="22"/>
        </w:rPr>
        <w:t xml:space="preserve">Podmirene obveze </w:t>
      </w:r>
      <w:r w:rsidR="003B6403">
        <w:rPr>
          <w:rFonts w:ascii="Aptos" w:hAnsi="Aptos" w:cstheme="minorHAnsi"/>
          <w:sz w:val="22"/>
          <w:szCs w:val="22"/>
        </w:rPr>
        <w:t xml:space="preserve">- </w:t>
      </w:r>
      <w:r w:rsidRPr="003B6403">
        <w:rPr>
          <w:rFonts w:ascii="Aptos" w:hAnsi="Aptos" w:cstheme="minorHAnsi"/>
          <w:sz w:val="22"/>
          <w:szCs w:val="22"/>
        </w:rPr>
        <w:t xml:space="preserve">šifra V004 u izvještajnom razdoblju iznose </w:t>
      </w:r>
      <w:r w:rsidR="003B6403">
        <w:rPr>
          <w:rFonts w:ascii="Aptos" w:hAnsi="Aptos" w:cstheme="minorHAnsi"/>
          <w:sz w:val="22"/>
          <w:szCs w:val="22"/>
        </w:rPr>
        <w:t>10.599.559,20 €</w:t>
      </w:r>
      <w:r w:rsidRPr="003B6403">
        <w:rPr>
          <w:rFonts w:ascii="Aptos" w:hAnsi="Aptos" w:cstheme="minorHAnsi"/>
          <w:sz w:val="22"/>
          <w:szCs w:val="22"/>
        </w:rPr>
        <w:t xml:space="preserve"> i odnose se na obveze za rashode poslovanja u iznosu od </w:t>
      </w:r>
      <w:r w:rsidR="003B6403">
        <w:rPr>
          <w:rFonts w:ascii="Aptos" w:hAnsi="Aptos" w:cstheme="minorHAnsi"/>
          <w:sz w:val="22"/>
          <w:szCs w:val="22"/>
        </w:rPr>
        <w:t>5.489.899,82</w:t>
      </w:r>
      <w:r w:rsidRPr="003B6403">
        <w:rPr>
          <w:rFonts w:ascii="Aptos" w:hAnsi="Aptos" w:cstheme="minorHAnsi"/>
          <w:sz w:val="22"/>
          <w:szCs w:val="22"/>
        </w:rPr>
        <w:t xml:space="preserve"> € i obveze za nabavu nefinancijske imovine u iznosu od </w:t>
      </w:r>
      <w:r w:rsidR="003B6403">
        <w:rPr>
          <w:rFonts w:ascii="Aptos" w:hAnsi="Aptos" w:cstheme="minorHAnsi"/>
          <w:sz w:val="22"/>
          <w:szCs w:val="22"/>
        </w:rPr>
        <w:t>4.716.631,61 €,</w:t>
      </w:r>
      <w:r w:rsidRPr="003B6403">
        <w:rPr>
          <w:rFonts w:ascii="Aptos" w:hAnsi="Aptos" w:cstheme="minorHAnsi"/>
          <w:sz w:val="22"/>
          <w:szCs w:val="22"/>
        </w:rPr>
        <w:t xml:space="preserve"> dok su obveze za financijsku imovinu iskazane u iznosu od </w:t>
      </w:r>
      <w:r w:rsidR="003B6403">
        <w:rPr>
          <w:rFonts w:ascii="Aptos" w:hAnsi="Aptos" w:cstheme="minorHAnsi"/>
          <w:sz w:val="22"/>
          <w:szCs w:val="22"/>
        </w:rPr>
        <w:t xml:space="preserve">393.027,77 </w:t>
      </w:r>
      <w:r w:rsidRPr="003B6403">
        <w:rPr>
          <w:rFonts w:ascii="Aptos" w:hAnsi="Aptos" w:cstheme="minorHAnsi"/>
          <w:sz w:val="22"/>
          <w:szCs w:val="22"/>
        </w:rPr>
        <w:t xml:space="preserve">€. </w:t>
      </w:r>
    </w:p>
    <w:p w14:paraId="5A18D383" w14:textId="21509D1C" w:rsidR="003B6403" w:rsidRPr="00216C04" w:rsidRDefault="003B6403" w:rsidP="00216C04">
      <w:pPr>
        <w:spacing w:before="80" w:after="80"/>
        <w:ind w:left="-425" w:right="-380" w:firstLine="284"/>
        <w:jc w:val="center"/>
        <w:rPr>
          <w:rFonts w:ascii="Ebrima" w:hAnsi="Ebrima" w:cs="Calibri"/>
          <w:b/>
          <w:bCs/>
          <w:color w:val="000000"/>
          <w:sz w:val="18"/>
          <w:szCs w:val="18"/>
        </w:rPr>
      </w:pPr>
      <w:r w:rsidRPr="003B6403">
        <w:rPr>
          <w:rFonts w:ascii="Aptos" w:hAnsi="Aptos" w:cs="Calibri"/>
          <w:b/>
          <w:bCs/>
          <w:color w:val="000000"/>
          <w:sz w:val="22"/>
          <w:szCs w:val="22"/>
        </w:rPr>
        <w:t xml:space="preserve">Bilješka </w:t>
      </w:r>
      <w:r>
        <w:rPr>
          <w:rFonts w:ascii="Aptos" w:hAnsi="Aptos" w:cs="Calibri"/>
          <w:b/>
          <w:bCs/>
          <w:color w:val="000000"/>
          <w:sz w:val="22"/>
          <w:szCs w:val="22"/>
        </w:rPr>
        <w:t>3</w:t>
      </w:r>
      <w:r w:rsidRPr="003B6403">
        <w:rPr>
          <w:rFonts w:ascii="Aptos" w:hAnsi="Aptos" w:cs="Calibri"/>
          <w:b/>
          <w:bCs/>
          <w:color w:val="000000"/>
          <w:sz w:val="22"/>
          <w:szCs w:val="22"/>
        </w:rPr>
        <w:t>.</w:t>
      </w:r>
    </w:p>
    <w:p w14:paraId="4EDABD0F" w14:textId="77777777" w:rsidR="00E5569D" w:rsidRDefault="00290BDA" w:rsidP="00E5569D">
      <w:pPr>
        <w:spacing w:before="60" w:after="60"/>
        <w:ind w:left="-425" w:right="-380" w:firstLine="284"/>
        <w:jc w:val="both"/>
        <w:rPr>
          <w:rFonts w:ascii="Aptos" w:hAnsi="Aptos" w:cstheme="minorHAnsi"/>
          <w:sz w:val="22"/>
          <w:szCs w:val="22"/>
        </w:rPr>
      </w:pPr>
      <w:r w:rsidRPr="003B6403">
        <w:rPr>
          <w:rFonts w:ascii="Aptos" w:hAnsi="Aptos" w:cstheme="minorHAnsi"/>
          <w:sz w:val="22"/>
          <w:szCs w:val="22"/>
        </w:rPr>
        <w:t>Na kraju izvještajnog razdoblja stanje obveza</w:t>
      </w:r>
      <w:r w:rsidR="003B6403">
        <w:rPr>
          <w:rFonts w:ascii="Aptos" w:hAnsi="Aptos" w:cstheme="minorHAnsi"/>
          <w:sz w:val="22"/>
          <w:szCs w:val="22"/>
        </w:rPr>
        <w:t xml:space="preserve"> – šifra V006</w:t>
      </w:r>
      <w:r w:rsidRPr="003B6403">
        <w:rPr>
          <w:rFonts w:ascii="Aptos" w:hAnsi="Aptos" w:cstheme="minorHAnsi"/>
          <w:sz w:val="22"/>
          <w:szCs w:val="22"/>
        </w:rPr>
        <w:t xml:space="preserve"> iznosi </w:t>
      </w:r>
      <w:r w:rsidR="003B6403">
        <w:rPr>
          <w:rFonts w:ascii="Aptos" w:hAnsi="Aptos" w:cstheme="minorHAnsi"/>
          <w:sz w:val="22"/>
          <w:szCs w:val="22"/>
        </w:rPr>
        <w:t xml:space="preserve">1.191.191,43 </w:t>
      </w:r>
      <w:r w:rsidRPr="003B6403">
        <w:rPr>
          <w:rFonts w:ascii="Aptos" w:hAnsi="Aptos" w:cstheme="minorHAnsi"/>
          <w:sz w:val="22"/>
          <w:szCs w:val="22"/>
        </w:rPr>
        <w:t xml:space="preserve">€, pri čemu stanje dospjelih obveza </w:t>
      </w:r>
      <w:r w:rsidR="00E5569D">
        <w:rPr>
          <w:rFonts w:ascii="Aptos" w:hAnsi="Aptos" w:cstheme="minorHAnsi"/>
          <w:sz w:val="22"/>
          <w:szCs w:val="22"/>
        </w:rPr>
        <w:t xml:space="preserve">– šifra V007 </w:t>
      </w:r>
      <w:r w:rsidRPr="003B6403">
        <w:rPr>
          <w:rFonts w:ascii="Aptos" w:hAnsi="Aptos" w:cstheme="minorHAnsi"/>
          <w:sz w:val="22"/>
          <w:szCs w:val="22"/>
        </w:rPr>
        <w:t>na kraju izvještajnog razdoblja iznos</w:t>
      </w:r>
      <w:r w:rsidR="00E5569D">
        <w:rPr>
          <w:rFonts w:ascii="Aptos" w:hAnsi="Aptos" w:cstheme="minorHAnsi"/>
          <w:sz w:val="22"/>
          <w:szCs w:val="22"/>
        </w:rPr>
        <w:t>i</w:t>
      </w:r>
      <w:r w:rsidRPr="003B6403">
        <w:rPr>
          <w:rFonts w:ascii="Aptos" w:hAnsi="Aptos" w:cstheme="minorHAnsi"/>
          <w:sz w:val="22"/>
          <w:szCs w:val="22"/>
        </w:rPr>
        <w:t xml:space="preserve"> </w:t>
      </w:r>
      <w:r w:rsidR="00E5569D">
        <w:rPr>
          <w:rFonts w:ascii="Aptos" w:hAnsi="Aptos" w:cstheme="minorHAnsi"/>
          <w:sz w:val="22"/>
          <w:szCs w:val="22"/>
        </w:rPr>
        <w:t>133.156,56 €.</w:t>
      </w:r>
    </w:p>
    <w:p w14:paraId="31D1C345" w14:textId="4C617230" w:rsidR="00216C04" w:rsidRDefault="00E5569D" w:rsidP="00216C04">
      <w:pPr>
        <w:spacing w:before="60" w:after="60"/>
        <w:ind w:left="-425" w:right="-380" w:firstLine="284"/>
        <w:jc w:val="both"/>
        <w:rPr>
          <w:rFonts w:ascii="Aptos" w:hAnsi="Aptos" w:cstheme="minorHAnsi"/>
          <w:sz w:val="22"/>
          <w:szCs w:val="22"/>
        </w:rPr>
      </w:pPr>
      <w:r>
        <w:rPr>
          <w:rFonts w:ascii="Aptos" w:hAnsi="Aptos" w:cstheme="minorHAnsi"/>
          <w:sz w:val="22"/>
          <w:szCs w:val="22"/>
        </w:rPr>
        <w:t xml:space="preserve">Od ukupno dospjelih obveza unutar 60 dana dospjelo je na plaćanje </w:t>
      </w:r>
      <w:r w:rsidR="00216C04">
        <w:rPr>
          <w:rFonts w:ascii="Aptos" w:hAnsi="Aptos" w:cstheme="minorHAnsi"/>
          <w:sz w:val="22"/>
          <w:szCs w:val="22"/>
        </w:rPr>
        <w:t xml:space="preserve">132.891,11 € ili 99,8%, a odnose se na obveze iz izvještajnog razdoblja po računima koji su zaprimljeni tijekom siječnja i veljače 2024. godine. Radi primjene novog postupka </w:t>
      </w:r>
      <w:r w:rsidR="00216C04" w:rsidRPr="00216C04">
        <w:rPr>
          <w:rFonts w:ascii="Aptos" w:hAnsi="Aptos" w:cstheme="minorHAnsi"/>
          <w:sz w:val="22"/>
          <w:szCs w:val="22"/>
        </w:rPr>
        <w:t xml:space="preserve">zaprimanja računa unutar ustrojstvenih jedinica Grada </w:t>
      </w:r>
      <w:proofErr w:type="spellStart"/>
      <w:r w:rsidR="00216C04" w:rsidRPr="00216C04">
        <w:rPr>
          <w:rFonts w:ascii="Aptos" w:hAnsi="Aptos" w:cstheme="minorHAnsi"/>
          <w:sz w:val="22"/>
          <w:szCs w:val="22"/>
        </w:rPr>
        <w:t>Bakra,njihove</w:t>
      </w:r>
      <w:proofErr w:type="spellEnd"/>
      <w:r w:rsidR="00216C04" w:rsidRPr="00216C04">
        <w:rPr>
          <w:rFonts w:ascii="Aptos" w:hAnsi="Aptos" w:cstheme="minorHAnsi"/>
          <w:sz w:val="22"/>
          <w:szCs w:val="22"/>
        </w:rPr>
        <w:t xml:space="preserve"> kontrole i ovjere</w:t>
      </w:r>
      <w:r w:rsidR="00216C04">
        <w:rPr>
          <w:rFonts w:ascii="Aptos" w:hAnsi="Aptos" w:cstheme="minorHAnsi"/>
          <w:sz w:val="22"/>
          <w:szCs w:val="22"/>
        </w:rPr>
        <w:t xml:space="preserve"> došlo je i do kašnjenja u plaćanju.</w:t>
      </w:r>
    </w:p>
    <w:p w14:paraId="3EDE9ECD" w14:textId="77777777" w:rsidR="004D3C28" w:rsidRDefault="00216C04" w:rsidP="004D3C28">
      <w:pPr>
        <w:spacing w:before="60" w:after="60"/>
        <w:ind w:left="-425" w:right="-380" w:firstLine="284"/>
        <w:jc w:val="both"/>
        <w:rPr>
          <w:rFonts w:ascii="Aptos" w:hAnsi="Aptos" w:cstheme="minorHAnsi"/>
          <w:sz w:val="22"/>
          <w:szCs w:val="22"/>
        </w:rPr>
      </w:pPr>
      <w:r>
        <w:rPr>
          <w:rFonts w:ascii="Aptos" w:hAnsi="Aptos" w:cstheme="minorHAnsi"/>
          <w:sz w:val="22"/>
          <w:szCs w:val="22"/>
        </w:rPr>
        <w:t>Preostala obveza od 265,45 €</w:t>
      </w:r>
      <w:r w:rsidR="004D3C28">
        <w:rPr>
          <w:rFonts w:ascii="Aptos" w:hAnsi="Aptos" w:cstheme="minorHAnsi"/>
          <w:sz w:val="22"/>
          <w:szCs w:val="22"/>
        </w:rPr>
        <w:t>,</w:t>
      </w:r>
      <w:r>
        <w:rPr>
          <w:rFonts w:ascii="Aptos" w:hAnsi="Aptos" w:cstheme="minorHAnsi"/>
          <w:sz w:val="22"/>
          <w:szCs w:val="22"/>
        </w:rPr>
        <w:t xml:space="preserve"> čije je </w:t>
      </w:r>
      <w:proofErr w:type="spellStart"/>
      <w:r>
        <w:rPr>
          <w:rFonts w:ascii="Aptos" w:hAnsi="Aptos" w:cstheme="minorHAnsi"/>
          <w:sz w:val="22"/>
          <w:szCs w:val="22"/>
        </w:rPr>
        <w:t>dospjeće</w:t>
      </w:r>
      <w:proofErr w:type="spellEnd"/>
      <w:r>
        <w:rPr>
          <w:rFonts w:ascii="Aptos" w:hAnsi="Aptos" w:cstheme="minorHAnsi"/>
          <w:sz w:val="22"/>
          <w:szCs w:val="22"/>
        </w:rPr>
        <w:t xml:space="preserve"> plaćanja preko 360 dana</w:t>
      </w:r>
      <w:r w:rsidR="004D3C28">
        <w:rPr>
          <w:rFonts w:ascii="Aptos" w:hAnsi="Aptos" w:cstheme="minorHAnsi"/>
          <w:sz w:val="22"/>
          <w:szCs w:val="22"/>
        </w:rPr>
        <w:t>,</w:t>
      </w:r>
      <w:r>
        <w:rPr>
          <w:rFonts w:ascii="Aptos" w:hAnsi="Aptos" w:cstheme="minorHAnsi"/>
          <w:sz w:val="22"/>
          <w:szCs w:val="22"/>
        </w:rPr>
        <w:t xml:space="preserve"> odnosi se na </w:t>
      </w:r>
      <w:r w:rsidR="004D3C28">
        <w:rPr>
          <w:rFonts w:ascii="Aptos" w:hAnsi="Aptos" w:cstheme="minorHAnsi"/>
          <w:sz w:val="22"/>
          <w:szCs w:val="22"/>
        </w:rPr>
        <w:t xml:space="preserve">obvezu </w:t>
      </w:r>
      <w:r w:rsidR="00290BDA" w:rsidRPr="003B6403">
        <w:rPr>
          <w:rFonts w:ascii="Aptos" w:hAnsi="Aptos" w:cstheme="minorHAnsi"/>
          <w:sz w:val="22"/>
          <w:szCs w:val="22"/>
        </w:rPr>
        <w:t xml:space="preserve">za usluge izrade geodetske podloge za projektiranje u svrhu ishođenja lokacijske dozvole koje nisu u potpunosti odrađene, a obročno plaćanje je prethodno </w:t>
      </w:r>
      <w:proofErr w:type="spellStart"/>
      <w:r w:rsidR="00290BDA" w:rsidRPr="003B6403">
        <w:rPr>
          <w:rFonts w:ascii="Aptos" w:hAnsi="Aptos" w:cstheme="minorHAnsi"/>
          <w:sz w:val="22"/>
          <w:szCs w:val="22"/>
        </w:rPr>
        <w:t>iskomunicirano</w:t>
      </w:r>
      <w:proofErr w:type="spellEnd"/>
      <w:r w:rsidR="00290BDA" w:rsidRPr="003B6403">
        <w:rPr>
          <w:rFonts w:ascii="Aptos" w:hAnsi="Aptos" w:cstheme="minorHAnsi"/>
          <w:sz w:val="22"/>
          <w:szCs w:val="22"/>
        </w:rPr>
        <w:t xml:space="preserve"> s izvršiteljem. </w:t>
      </w:r>
    </w:p>
    <w:p w14:paraId="0C1CDA53" w14:textId="77777777" w:rsidR="004D3C28" w:rsidRDefault="004D3C28" w:rsidP="004D3C28">
      <w:pPr>
        <w:spacing w:before="60" w:after="60"/>
        <w:ind w:left="-425" w:right="-380" w:firstLine="284"/>
        <w:jc w:val="both"/>
        <w:rPr>
          <w:rFonts w:ascii="Aptos" w:hAnsi="Aptos" w:cstheme="minorHAnsi"/>
          <w:sz w:val="22"/>
          <w:szCs w:val="22"/>
        </w:rPr>
      </w:pPr>
    </w:p>
    <w:p w14:paraId="223A685F" w14:textId="77777777" w:rsidR="004D3C28" w:rsidRDefault="004D3C28" w:rsidP="004D3C28">
      <w:pPr>
        <w:spacing w:before="60" w:after="60"/>
        <w:ind w:left="-425" w:right="-380" w:firstLine="284"/>
        <w:jc w:val="both"/>
        <w:rPr>
          <w:rFonts w:ascii="Aptos" w:hAnsi="Aptos" w:cstheme="minorHAnsi"/>
          <w:sz w:val="22"/>
          <w:szCs w:val="22"/>
        </w:rPr>
      </w:pPr>
    </w:p>
    <w:p w14:paraId="0D944E7F" w14:textId="77777777" w:rsidR="004D3C28" w:rsidRDefault="004D3C28" w:rsidP="004D3C28">
      <w:pPr>
        <w:spacing w:before="60" w:after="60"/>
        <w:ind w:left="-425" w:right="-380" w:firstLine="284"/>
        <w:jc w:val="both"/>
        <w:rPr>
          <w:rFonts w:ascii="Aptos" w:hAnsi="Aptos" w:cstheme="minorHAnsi"/>
          <w:sz w:val="22"/>
          <w:szCs w:val="22"/>
        </w:rPr>
      </w:pPr>
    </w:p>
    <w:p w14:paraId="02A89A67" w14:textId="77777777" w:rsidR="004D3C28" w:rsidRDefault="004D3C28" w:rsidP="004D3C28">
      <w:pPr>
        <w:spacing w:before="60" w:after="60"/>
        <w:ind w:left="-425" w:right="-380" w:firstLine="284"/>
        <w:jc w:val="both"/>
        <w:rPr>
          <w:rFonts w:ascii="Aptos" w:hAnsi="Aptos" w:cstheme="minorHAnsi"/>
          <w:sz w:val="22"/>
          <w:szCs w:val="22"/>
        </w:rPr>
      </w:pPr>
    </w:p>
    <w:p w14:paraId="18891B3B" w14:textId="77777777" w:rsidR="004D3C28" w:rsidRDefault="004D3C28" w:rsidP="004D3C28">
      <w:pPr>
        <w:spacing w:before="60" w:after="60"/>
        <w:ind w:left="-425" w:right="-380" w:firstLine="284"/>
        <w:jc w:val="both"/>
        <w:rPr>
          <w:rFonts w:ascii="Aptos" w:hAnsi="Aptos" w:cstheme="minorHAnsi"/>
          <w:sz w:val="22"/>
          <w:szCs w:val="22"/>
        </w:rPr>
      </w:pPr>
    </w:p>
    <w:p w14:paraId="2FD18521" w14:textId="19381BA4" w:rsidR="006202F0" w:rsidRPr="004D3C28" w:rsidRDefault="006202F0" w:rsidP="004D3C28">
      <w:pPr>
        <w:spacing w:before="60" w:after="60"/>
        <w:ind w:left="-425" w:right="-380" w:firstLine="284"/>
        <w:jc w:val="both"/>
        <w:rPr>
          <w:rFonts w:ascii="Aptos" w:hAnsi="Aptos" w:cstheme="minorHAnsi"/>
          <w:sz w:val="22"/>
          <w:szCs w:val="22"/>
        </w:rPr>
      </w:pPr>
      <w:r w:rsidRPr="00F61B8D">
        <w:rPr>
          <w:rFonts w:ascii="Aptos" w:hAnsi="Aptos" w:cstheme="minorHAnsi"/>
          <w:sz w:val="22"/>
          <w:szCs w:val="22"/>
          <w:lang w:val="en-AU"/>
        </w:rPr>
        <w:t xml:space="preserve">Bakar, </w:t>
      </w:r>
      <w:r w:rsidR="00B90F4B" w:rsidRPr="00F61B8D">
        <w:rPr>
          <w:rFonts w:ascii="Aptos" w:hAnsi="Aptos" w:cstheme="minorHAnsi"/>
          <w:sz w:val="22"/>
          <w:szCs w:val="22"/>
          <w:lang w:val="en-AU"/>
        </w:rPr>
        <w:t xml:space="preserve">15. </w:t>
      </w:r>
      <w:proofErr w:type="spellStart"/>
      <w:r w:rsidR="00B90F4B" w:rsidRPr="00F61B8D">
        <w:rPr>
          <w:rFonts w:ascii="Aptos" w:hAnsi="Aptos" w:cstheme="minorHAnsi"/>
          <w:sz w:val="22"/>
          <w:szCs w:val="22"/>
          <w:lang w:val="en-AU"/>
        </w:rPr>
        <w:t>veljače</w:t>
      </w:r>
      <w:proofErr w:type="spellEnd"/>
      <w:r w:rsidR="00B90F4B" w:rsidRPr="00F61B8D">
        <w:rPr>
          <w:rFonts w:ascii="Aptos" w:hAnsi="Aptos" w:cstheme="minorHAnsi"/>
          <w:sz w:val="22"/>
          <w:szCs w:val="22"/>
          <w:lang w:val="en-AU"/>
        </w:rPr>
        <w:t xml:space="preserve"> 202</w:t>
      </w:r>
      <w:r w:rsidR="0072553E" w:rsidRPr="00F61B8D">
        <w:rPr>
          <w:rFonts w:ascii="Aptos" w:hAnsi="Aptos" w:cstheme="minorHAnsi"/>
          <w:sz w:val="22"/>
          <w:szCs w:val="22"/>
          <w:lang w:val="en-AU"/>
        </w:rPr>
        <w:t>4</w:t>
      </w:r>
      <w:r w:rsidRPr="00F61B8D">
        <w:rPr>
          <w:rFonts w:ascii="Aptos" w:hAnsi="Aptos" w:cstheme="minorHAnsi"/>
          <w:sz w:val="22"/>
          <w:szCs w:val="22"/>
          <w:lang w:val="en-AU"/>
        </w:rPr>
        <w:t xml:space="preserve">. </w:t>
      </w:r>
      <w:proofErr w:type="spellStart"/>
      <w:r w:rsidRPr="00F61B8D">
        <w:rPr>
          <w:rFonts w:ascii="Aptos" w:hAnsi="Aptos" w:cstheme="minorHAnsi"/>
          <w:sz w:val="22"/>
          <w:szCs w:val="22"/>
          <w:lang w:val="en-AU"/>
        </w:rPr>
        <w:t>godine</w:t>
      </w:r>
      <w:proofErr w:type="spellEnd"/>
    </w:p>
    <w:p w14:paraId="13ECFF3C" w14:textId="0FA1968D" w:rsidR="006202F0" w:rsidRPr="00F61B8D" w:rsidRDefault="006202F0" w:rsidP="006202F0">
      <w:pPr>
        <w:pStyle w:val="Zaglavlje"/>
        <w:tabs>
          <w:tab w:val="clear" w:pos="4320"/>
          <w:tab w:val="clear" w:pos="8640"/>
        </w:tabs>
        <w:spacing w:before="60" w:after="60"/>
        <w:jc w:val="both"/>
        <w:rPr>
          <w:rFonts w:ascii="Aptos" w:hAnsi="Aptos" w:cstheme="minorHAnsi"/>
          <w:sz w:val="22"/>
          <w:szCs w:val="22"/>
          <w:lang w:val="en-AU"/>
        </w:rPr>
      </w:pPr>
      <w:r w:rsidRPr="00F61B8D">
        <w:rPr>
          <w:rFonts w:ascii="Aptos" w:hAnsi="Aptos" w:cstheme="minorHAnsi"/>
          <w:sz w:val="22"/>
          <w:szCs w:val="22"/>
          <w:lang w:val="en-AU"/>
        </w:rPr>
        <w:t xml:space="preserve">                                                                                                                          </w:t>
      </w:r>
      <w:r w:rsidR="0072553E" w:rsidRPr="00F61B8D">
        <w:rPr>
          <w:rFonts w:ascii="Aptos" w:hAnsi="Aptos" w:cstheme="minorHAnsi"/>
          <w:sz w:val="22"/>
          <w:szCs w:val="22"/>
          <w:lang w:val="en-AU"/>
        </w:rPr>
        <w:t xml:space="preserve">                </w:t>
      </w:r>
      <w:r w:rsidR="004D3C28">
        <w:rPr>
          <w:rFonts w:ascii="Aptos" w:hAnsi="Aptos" w:cstheme="minorHAnsi"/>
          <w:sz w:val="22"/>
          <w:szCs w:val="22"/>
          <w:lang w:val="en-AU"/>
        </w:rPr>
        <w:t xml:space="preserve">      </w:t>
      </w:r>
      <w:r w:rsidR="0072553E" w:rsidRPr="00F61B8D">
        <w:rPr>
          <w:rFonts w:ascii="Aptos" w:hAnsi="Aptos" w:cstheme="minorHAnsi"/>
          <w:sz w:val="22"/>
          <w:szCs w:val="22"/>
          <w:lang w:val="en-AU"/>
        </w:rPr>
        <w:t xml:space="preserve">   </w:t>
      </w:r>
      <w:r w:rsidRPr="00F61B8D">
        <w:rPr>
          <w:rFonts w:ascii="Aptos" w:hAnsi="Aptos" w:cstheme="minorHAnsi"/>
          <w:sz w:val="22"/>
          <w:szCs w:val="22"/>
          <w:lang w:val="en-AU"/>
        </w:rPr>
        <w:t>P</w:t>
      </w:r>
      <w:r w:rsidR="0072553E" w:rsidRPr="00F61B8D">
        <w:rPr>
          <w:rFonts w:ascii="Aptos" w:hAnsi="Aptos" w:cstheme="minorHAnsi"/>
          <w:sz w:val="22"/>
          <w:szCs w:val="22"/>
          <w:lang w:val="en-AU"/>
        </w:rPr>
        <w:t>ROČELNICA</w:t>
      </w:r>
      <w:r w:rsidRPr="00F61B8D">
        <w:rPr>
          <w:rFonts w:ascii="Aptos" w:hAnsi="Aptos" w:cstheme="minorHAnsi"/>
          <w:sz w:val="22"/>
          <w:szCs w:val="22"/>
          <w:lang w:val="en-AU"/>
        </w:rPr>
        <w:t>:</w:t>
      </w:r>
    </w:p>
    <w:p w14:paraId="08CF5085" w14:textId="569EFA7F" w:rsidR="006202F0" w:rsidRPr="00F61B8D" w:rsidRDefault="006202F0" w:rsidP="006202F0">
      <w:pPr>
        <w:pStyle w:val="Zaglavlje"/>
        <w:tabs>
          <w:tab w:val="clear" w:pos="4320"/>
          <w:tab w:val="clear" w:pos="8640"/>
        </w:tabs>
        <w:jc w:val="both"/>
        <w:rPr>
          <w:rFonts w:ascii="Aptos" w:hAnsi="Aptos" w:cstheme="minorHAnsi"/>
          <w:sz w:val="22"/>
          <w:szCs w:val="22"/>
          <w:lang w:val="en-AU"/>
        </w:rPr>
      </w:pPr>
      <w:r w:rsidRPr="00F61B8D">
        <w:rPr>
          <w:rFonts w:ascii="Aptos" w:hAnsi="Aptos" w:cstheme="minorHAnsi"/>
          <w:sz w:val="22"/>
          <w:szCs w:val="22"/>
          <w:lang w:val="en-AU"/>
        </w:rPr>
        <w:t xml:space="preserve">                                                                                                                 </w:t>
      </w:r>
      <w:r w:rsidR="0072553E" w:rsidRPr="00F61B8D">
        <w:rPr>
          <w:rFonts w:ascii="Aptos" w:hAnsi="Aptos" w:cstheme="minorHAnsi"/>
          <w:sz w:val="22"/>
          <w:szCs w:val="22"/>
          <w:lang w:val="en-AU"/>
        </w:rPr>
        <w:t xml:space="preserve">                            </w:t>
      </w:r>
      <w:r w:rsidR="004D3C28">
        <w:rPr>
          <w:rFonts w:ascii="Aptos" w:hAnsi="Aptos" w:cstheme="minorHAnsi"/>
          <w:sz w:val="22"/>
          <w:szCs w:val="22"/>
          <w:lang w:val="en-AU"/>
        </w:rPr>
        <w:t xml:space="preserve">       </w:t>
      </w:r>
      <w:r w:rsidR="0072553E" w:rsidRPr="00F61B8D">
        <w:rPr>
          <w:rFonts w:ascii="Aptos" w:hAnsi="Aptos" w:cstheme="minorHAnsi"/>
          <w:sz w:val="22"/>
          <w:szCs w:val="22"/>
          <w:lang w:val="en-AU"/>
        </w:rPr>
        <w:t xml:space="preserve"> </w:t>
      </w:r>
      <w:r w:rsidRPr="00F61B8D">
        <w:rPr>
          <w:rFonts w:ascii="Aptos" w:hAnsi="Aptos" w:cstheme="minorHAnsi"/>
          <w:sz w:val="22"/>
          <w:szCs w:val="22"/>
          <w:lang w:val="en-AU"/>
        </w:rPr>
        <w:t>Iva Marohnić</w:t>
      </w:r>
    </w:p>
    <w:p w14:paraId="11247A71" w14:textId="25FF9F7C" w:rsidR="00CF7F51" w:rsidRPr="00F61B8D" w:rsidRDefault="00CF7F51" w:rsidP="006202F0">
      <w:pPr>
        <w:pStyle w:val="Zaglavlje"/>
        <w:tabs>
          <w:tab w:val="clear" w:pos="4320"/>
          <w:tab w:val="clear" w:pos="8640"/>
        </w:tabs>
        <w:jc w:val="both"/>
        <w:rPr>
          <w:rFonts w:ascii="Aptos" w:hAnsi="Aptos"/>
          <w:sz w:val="22"/>
          <w:szCs w:val="22"/>
          <w:lang w:val="en-AU"/>
        </w:rPr>
      </w:pPr>
    </w:p>
    <w:sectPr w:rsidR="00CF7F51" w:rsidRPr="00F61B8D" w:rsidSect="00982090">
      <w:headerReference w:type="even" r:id="rId8"/>
      <w:headerReference w:type="default" r:id="rId9"/>
      <w:pgSz w:w="11907" w:h="16840" w:code="9"/>
      <w:pgMar w:top="1440" w:right="1134"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4C751" w14:textId="77777777" w:rsidR="00982090" w:rsidRDefault="00982090">
      <w:r>
        <w:separator/>
      </w:r>
    </w:p>
  </w:endnote>
  <w:endnote w:type="continuationSeparator" w:id="0">
    <w:p w14:paraId="789034E3" w14:textId="77777777" w:rsidR="00982090" w:rsidRDefault="009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3AD87" w14:textId="77777777" w:rsidR="00982090" w:rsidRDefault="00982090">
      <w:r>
        <w:separator/>
      </w:r>
    </w:p>
  </w:footnote>
  <w:footnote w:type="continuationSeparator" w:id="0">
    <w:p w14:paraId="5338B449" w14:textId="77777777" w:rsidR="00982090" w:rsidRDefault="0098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3CDB" w14:textId="77777777" w:rsidR="008C4538" w:rsidRDefault="008C4538">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72C7924B" w14:textId="77777777" w:rsidR="008C4538" w:rsidRDefault="008C4538">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18C8" w14:textId="77777777" w:rsidR="008C4538" w:rsidRDefault="008C4538">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047"/>
    <w:multiLevelType w:val="hybridMultilevel"/>
    <w:tmpl w:val="C0504FD6"/>
    <w:lvl w:ilvl="0" w:tplc="041A0001">
      <w:start w:val="1"/>
      <w:numFmt w:val="bullet"/>
      <w:lvlText w:val=""/>
      <w:lvlJc w:val="left"/>
      <w:pPr>
        <w:ind w:left="579" w:hanging="360"/>
      </w:pPr>
      <w:rPr>
        <w:rFonts w:ascii="Symbol" w:hAnsi="Symbol" w:hint="default"/>
      </w:rPr>
    </w:lvl>
    <w:lvl w:ilvl="1" w:tplc="041A0003" w:tentative="1">
      <w:start w:val="1"/>
      <w:numFmt w:val="bullet"/>
      <w:lvlText w:val="o"/>
      <w:lvlJc w:val="left"/>
      <w:pPr>
        <w:ind w:left="1299" w:hanging="360"/>
      </w:pPr>
      <w:rPr>
        <w:rFonts w:ascii="Courier New" w:hAnsi="Courier New" w:cs="Courier New"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1" w15:restartNumberingAfterBreak="0">
    <w:nsid w:val="184839D3"/>
    <w:multiLevelType w:val="hybridMultilevel"/>
    <w:tmpl w:val="FF24A064"/>
    <w:lvl w:ilvl="0" w:tplc="D77A1626">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023F5A"/>
    <w:multiLevelType w:val="hybridMultilevel"/>
    <w:tmpl w:val="5D32B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A20074"/>
    <w:multiLevelType w:val="hybridMultilevel"/>
    <w:tmpl w:val="09102AA8"/>
    <w:lvl w:ilvl="0" w:tplc="BAFCDD08">
      <w:start w:val="31"/>
      <w:numFmt w:val="bullet"/>
      <w:lvlText w:val="-"/>
      <w:lvlJc w:val="left"/>
      <w:pPr>
        <w:ind w:left="294" w:hanging="360"/>
      </w:pPr>
      <w:rPr>
        <w:rFonts w:ascii="Cambria" w:eastAsia="Times New Roman" w:hAnsi="Cambria" w:cs="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 w15:restartNumberingAfterBreak="0">
    <w:nsid w:val="3C1F387E"/>
    <w:multiLevelType w:val="hybridMultilevel"/>
    <w:tmpl w:val="3DB26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9D1E8A"/>
    <w:multiLevelType w:val="hybridMultilevel"/>
    <w:tmpl w:val="57CC9F50"/>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402A4"/>
    <w:multiLevelType w:val="hybridMultilevel"/>
    <w:tmpl w:val="E50EF81A"/>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7" w15:restartNumberingAfterBreak="0">
    <w:nsid w:val="511A166F"/>
    <w:multiLevelType w:val="hybridMultilevel"/>
    <w:tmpl w:val="913ACBC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926757"/>
    <w:multiLevelType w:val="hybridMultilevel"/>
    <w:tmpl w:val="733C3B3A"/>
    <w:lvl w:ilvl="0" w:tplc="20E2C676">
      <w:start w:val="1"/>
      <w:numFmt w:val="decimal"/>
      <w:lvlText w:val="%1."/>
      <w:lvlJc w:val="left"/>
      <w:pPr>
        <w:tabs>
          <w:tab w:val="num" w:pos="840"/>
        </w:tabs>
        <w:ind w:left="840" w:hanging="360"/>
      </w:pPr>
      <w:rPr>
        <w:rFonts w:hint="default"/>
      </w:rPr>
    </w:lvl>
    <w:lvl w:ilvl="1" w:tplc="98547056">
      <w:start w:val="126"/>
      <w:numFmt w:val="bullet"/>
      <w:lvlText w:val="-"/>
      <w:lvlJc w:val="left"/>
      <w:pPr>
        <w:tabs>
          <w:tab w:val="num" w:pos="1560"/>
        </w:tabs>
        <w:ind w:left="1560" w:hanging="360"/>
      </w:pPr>
      <w:rPr>
        <w:rFonts w:ascii="Times New Roman" w:eastAsia="Times New Roman" w:hAnsi="Times New Roman" w:cs="Times New Roman" w:hint="default"/>
      </w:r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9" w15:restartNumberingAfterBreak="0">
    <w:nsid w:val="716C01FF"/>
    <w:multiLevelType w:val="hybridMultilevel"/>
    <w:tmpl w:val="63FC11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F85F1C"/>
    <w:multiLevelType w:val="hybridMultilevel"/>
    <w:tmpl w:val="1A9E83C4"/>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7BA12782"/>
    <w:multiLevelType w:val="hybridMultilevel"/>
    <w:tmpl w:val="4E8E0280"/>
    <w:lvl w:ilvl="0" w:tplc="2F22974E">
      <w:start w:val="31"/>
      <w:numFmt w:val="bullet"/>
      <w:lvlText w:val=""/>
      <w:lvlJc w:val="left"/>
      <w:pPr>
        <w:ind w:left="-66" w:hanging="360"/>
      </w:pPr>
      <w:rPr>
        <w:rFonts w:ascii="Symbol" w:eastAsia="Times New Roman" w:hAnsi="Symbol" w:cs="Times New Roman" w:hint="default"/>
        <w:color w:val="000000" w:themeColor="text1"/>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num w:numId="1" w16cid:durableId="1823767004">
    <w:abstractNumId w:val="8"/>
  </w:num>
  <w:num w:numId="2" w16cid:durableId="2077778103">
    <w:abstractNumId w:val="9"/>
  </w:num>
  <w:num w:numId="3" w16cid:durableId="934630681">
    <w:abstractNumId w:val="7"/>
  </w:num>
  <w:num w:numId="4" w16cid:durableId="1805541155">
    <w:abstractNumId w:val="5"/>
  </w:num>
  <w:num w:numId="5" w16cid:durableId="69816460">
    <w:abstractNumId w:val="10"/>
  </w:num>
  <w:num w:numId="6" w16cid:durableId="846755036">
    <w:abstractNumId w:val="1"/>
  </w:num>
  <w:num w:numId="7" w16cid:durableId="1526479273">
    <w:abstractNumId w:val="4"/>
  </w:num>
  <w:num w:numId="8" w16cid:durableId="1975526142">
    <w:abstractNumId w:val="2"/>
  </w:num>
  <w:num w:numId="9" w16cid:durableId="401947543">
    <w:abstractNumId w:val="6"/>
  </w:num>
  <w:num w:numId="10" w16cid:durableId="1090466142">
    <w:abstractNumId w:val="11"/>
  </w:num>
  <w:num w:numId="11" w16cid:durableId="912739745">
    <w:abstractNumId w:val="3"/>
  </w:num>
  <w:num w:numId="12" w16cid:durableId="15972461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EB"/>
    <w:rsid w:val="000012FC"/>
    <w:rsid w:val="00003190"/>
    <w:rsid w:val="000039E4"/>
    <w:rsid w:val="000039FD"/>
    <w:rsid w:val="00003F67"/>
    <w:rsid w:val="000064CB"/>
    <w:rsid w:val="00007FEA"/>
    <w:rsid w:val="000109BE"/>
    <w:rsid w:val="00011583"/>
    <w:rsid w:val="00011E8D"/>
    <w:rsid w:val="00016077"/>
    <w:rsid w:val="000160FF"/>
    <w:rsid w:val="0001645F"/>
    <w:rsid w:val="0001742C"/>
    <w:rsid w:val="00021981"/>
    <w:rsid w:val="000250E6"/>
    <w:rsid w:val="000303C1"/>
    <w:rsid w:val="00031DC2"/>
    <w:rsid w:val="00031E3F"/>
    <w:rsid w:val="00034ADB"/>
    <w:rsid w:val="00034B54"/>
    <w:rsid w:val="00036262"/>
    <w:rsid w:val="00040E4B"/>
    <w:rsid w:val="0004214E"/>
    <w:rsid w:val="000453ED"/>
    <w:rsid w:val="00046692"/>
    <w:rsid w:val="00047037"/>
    <w:rsid w:val="0004778B"/>
    <w:rsid w:val="00052F82"/>
    <w:rsid w:val="00053943"/>
    <w:rsid w:val="00053F03"/>
    <w:rsid w:val="00055909"/>
    <w:rsid w:val="000601B3"/>
    <w:rsid w:val="00060E7B"/>
    <w:rsid w:val="000612DB"/>
    <w:rsid w:val="00062B27"/>
    <w:rsid w:val="00063EB3"/>
    <w:rsid w:val="000714A0"/>
    <w:rsid w:val="00072331"/>
    <w:rsid w:val="00075B8E"/>
    <w:rsid w:val="00077BE6"/>
    <w:rsid w:val="0008313F"/>
    <w:rsid w:val="0008374B"/>
    <w:rsid w:val="00085D48"/>
    <w:rsid w:val="00087983"/>
    <w:rsid w:val="00087DE4"/>
    <w:rsid w:val="00087F9A"/>
    <w:rsid w:val="00090C54"/>
    <w:rsid w:val="000916FF"/>
    <w:rsid w:val="00091F63"/>
    <w:rsid w:val="0009255D"/>
    <w:rsid w:val="000934B6"/>
    <w:rsid w:val="000935C9"/>
    <w:rsid w:val="00095DB8"/>
    <w:rsid w:val="000963A9"/>
    <w:rsid w:val="00097E0F"/>
    <w:rsid w:val="000A0201"/>
    <w:rsid w:val="000A6DB8"/>
    <w:rsid w:val="000B07C6"/>
    <w:rsid w:val="000B1824"/>
    <w:rsid w:val="000B2496"/>
    <w:rsid w:val="000B298C"/>
    <w:rsid w:val="000B559B"/>
    <w:rsid w:val="000B7710"/>
    <w:rsid w:val="000C46D2"/>
    <w:rsid w:val="000C4ACF"/>
    <w:rsid w:val="000C5D4E"/>
    <w:rsid w:val="000C60FE"/>
    <w:rsid w:val="000C68C5"/>
    <w:rsid w:val="000D0858"/>
    <w:rsid w:val="000D20B3"/>
    <w:rsid w:val="000D4D3F"/>
    <w:rsid w:val="000D5312"/>
    <w:rsid w:val="000D6FF3"/>
    <w:rsid w:val="000E080B"/>
    <w:rsid w:val="000E1276"/>
    <w:rsid w:val="000E12EE"/>
    <w:rsid w:val="000E195F"/>
    <w:rsid w:val="000E1C5E"/>
    <w:rsid w:val="000E6EE0"/>
    <w:rsid w:val="000E755B"/>
    <w:rsid w:val="000E7F24"/>
    <w:rsid w:val="000F0CE3"/>
    <w:rsid w:val="000F3795"/>
    <w:rsid w:val="000F3E42"/>
    <w:rsid w:val="000F458A"/>
    <w:rsid w:val="000F612A"/>
    <w:rsid w:val="000F64C3"/>
    <w:rsid w:val="000F6659"/>
    <w:rsid w:val="000F6F12"/>
    <w:rsid w:val="00100231"/>
    <w:rsid w:val="001004DB"/>
    <w:rsid w:val="0010090F"/>
    <w:rsid w:val="00101646"/>
    <w:rsid w:val="00103650"/>
    <w:rsid w:val="00105664"/>
    <w:rsid w:val="00110F90"/>
    <w:rsid w:val="00111A51"/>
    <w:rsid w:val="001123AA"/>
    <w:rsid w:val="0011324C"/>
    <w:rsid w:val="0011437E"/>
    <w:rsid w:val="0011489C"/>
    <w:rsid w:val="0011743A"/>
    <w:rsid w:val="00123C1A"/>
    <w:rsid w:val="00126E52"/>
    <w:rsid w:val="00132294"/>
    <w:rsid w:val="00134131"/>
    <w:rsid w:val="00134D53"/>
    <w:rsid w:val="00134DAF"/>
    <w:rsid w:val="00134E35"/>
    <w:rsid w:val="00135663"/>
    <w:rsid w:val="00135777"/>
    <w:rsid w:val="00140C5F"/>
    <w:rsid w:val="00142013"/>
    <w:rsid w:val="00142ACE"/>
    <w:rsid w:val="00143118"/>
    <w:rsid w:val="00143218"/>
    <w:rsid w:val="001447F1"/>
    <w:rsid w:val="001456E8"/>
    <w:rsid w:val="001463BF"/>
    <w:rsid w:val="00146B0F"/>
    <w:rsid w:val="00150077"/>
    <w:rsid w:val="00150330"/>
    <w:rsid w:val="001504C4"/>
    <w:rsid w:val="00150AB8"/>
    <w:rsid w:val="00152895"/>
    <w:rsid w:val="00154838"/>
    <w:rsid w:val="00154BB9"/>
    <w:rsid w:val="00156883"/>
    <w:rsid w:val="00157FF7"/>
    <w:rsid w:val="001611FA"/>
    <w:rsid w:val="00162059"/>
    <w:rsid w:val="001620B9"/>
    <w:rsid w:val="00162662"/>
    <w:rsid w:val="00162B2F"/>
    <w:rsid w:val="00165EBA"/>
    <w:rsid w:val="001663F9"/>
    <w:rsid w:val="0017074F"/>
    <w:rsid w:val="0017172C"/>
    <w:rsid w:val="00171A15"/>
    <w:rsid w:val="001729A1"/>
    <w:rsid w:val="00173FAF"/>
    <w:rsid w:val="00174531"/>
    <w:rsid w:val="00174D2F"/>
    <w:rsid w:val="00174ED4"/>
    <w:rsid w:val="00175BDF"/>
    <w:rsid w:val="001769AE"/>
    <w:rsid w:val="00177DCC"/>
    <w:rsid w:val="00180732"/>
    <w:rsid w:val="00182916"/>
    <w:rsid w:val="001839B3"/>
    <w:rsid w:val="00183A92"/>
    <w:rsid w:val="00183F8B"/>
    <w:rsid w:val="00184C92"/>
    <w:rsid w:val="00185190"/>
    <w:rsid w:val="00186EF3"/>
    <w:rsid w:val="001874DC"/>
    <w:rsid w:val="00190E34"/>
    <w:rsid w:val="001916A8"/>
    <w:rsid w:val="00191C7B"/>
    <w:rsid w:val="00192685"/>
    <w:rsid w:val="00192B3B"/>
    <w:rsid w:val="0019325A"/>
    <w:rsid w:val="00193B21"/>
    <w:rsid w:val="00195F39"/>
    <w:rsid w:val="00196F69"/>
    <w:rsid w:val="001A0594"/>
    <w:rsid w:val="001A10BF"/>
    <w:rsid w:val="001A1EFB"/>
    <w:rsid w:val="001A21CF"/>
    <w:rsid w:val="001A2558"/>
    <w:rsid w:val="001A32C4"/>
    <w:rsid w:val="001A5E55"/>
    <w:rsid w:val="001A71CA"/>
    <w:rsid w:val="001B0692"/>
    <w:rsid w:val="001B1154"/>
    <w:rsid w:val="001B3718"/>
    <w:rsid w:val="001B3898"/>
    <w:rsid w:val="001B4414"/>
    <w:rsid w:val="001B4DF2"/>
    <w:rsid w:val="001B7A7E"/>
    <w:rsid w:val="001B7F22"/>
    <w:rsid w:val="001C1479"/>
    <w:rsid w:val="001C2994"/>
    <w:rsid w:val="001C3E67"/>
    <w:rsid w:val="001C4006"/>
    <w:rsid w:val="001C77AC"/>
    <w:rsid w:val="001D32E1"/>
    <w:rsid w:val="001D4BE0"/>
    <w:rsid w:val="001D5ED2"/>
    <w:rsid w:val="001D6A82"/>
    <w:rsid w:val="001E0200"/>
    <w:rsid w:val="001E0480"/>
    <w:rsid w:val="001E0961"/>
    <w:rsid w:val="001E0BA5"/>
    <w:rsid w:val="001E1A11"/>
    <w:rsid w:val="001E2614"/>
    <w:rsid w:val="001E2747"/>
    <w:rsid w:val="001E35B7"/>
    <w:rsid w:val="001E6FCC"/>
    <w:rsid w:val="001E7130"/>
    <w:rsid w:val="001E720D"/>
    <w:rsid w:val="001E7E64"/>
    <w:rsid w:val="001E7E7A"/>
    <w:rsid w:val="001F1813"/>
    <w:rsid w:val="001F1D47"/>
    <w:rsid w:val="001F1FE1"/>
    <w:rsid w:val="001F34D3"/>
    <w:rsid w:val="001F3911"/>
    <w:rsid w:val="001F4633"/>
    <w:rsid w:val="001F4FF8"/>
    <w:rsid w:val="001F557B"/>
    <w:rsid w:val="001F5FAF"/>
    <w:rsid w:val="001F7FDB"/>
    <w:rsid w:val="002007A8"/>
    <w:rsid w:val="00202369"/>
    <w:rsid w:val="002037B6"/>
    <w:rsid w:val="00204647"/>
    <w:rsid w:val="0020588E"/>
    <w:rsid w:val="00207EFE"/>
    <w:rsid w:val="002101EF"/>
    <w:rsid w:val="0021051D"/>
    <w:rsid w:val="002135CD"/>
    <w:rsid w:val="00214385"/>
    <w:rsid w:val="00214690"/>
    <w:rsid w:val="00214841"/>
    <w:rsid w:val="002162AF"/>
    <w:rsid w:val="00216995"/>
    <w:rsid w:val="00216C04"/>
    <w:rsid w:val="002170B0"/>
    <w:rsid w:val="0021741E"/>
    <w:rsid w:val="00222D85"/>
    <w:rsid w:val="00223025"/>
    <w:rsid w:val="002243FD"/>
    <w:rsid w:val="00225324"/>
    <w:rsid w:val="00227F21"/>
    <w:rsid w:val="00231370"/>
    <w:rsid w:val="002331D1"/>
    <w:rsid w:val="0023435B"/>
    <w:rsid w:val="0023607A"/>
    <w:rsid w:val="00236FAF"/>
    <w:rsid w:val="00243016"/>
    <w:rsid w:val="0024331B"/>
    <w:rsid w:val="00243471"/>
    <w:rsid w:val="00243D6F"/>
    <w:rsid w:val="00245B3E"/>
    <w:rsid w:val="00247DE6"/>
    <w:rsid w:val="00252A24"/>
    <w:rsid w:val="00253563"/>
    <w:rsid w:val="00255D32"/>
    <w:rsid w:val="002567C2"/>
    <w:rsid w:val="0025742A"/>
    <w:rsid w:val="002579A1"/>
    <w:rsid w:val="00262245"/>
    <w:rsid w:val="00264969"/>
    <w:rsid w:val="00264D83"/>
    <w:rsid w:val="0026680D"/>
    <w:rsid w:val="00271001"/>
    <w:rsid w:val="00275A1F"/>
    <w:rsid w:val="00275AE9"/>
    <w:rsid w:val="0027610F"/>
    <w:rsid w:val="002761C8"/>
    <w:rsid w:val="00276983"/>
    <w:rsid w:val="00277AED"/>
    <w:rsid w:val="0028027A"/>
    <w:rsid w:val="00281118"/>
    <w:rsid w:val="00282C36"/>
    <w:rsid w:val="002838E6"/>
    <w:rsid w:val="002852B4"/>
    <w:rsid w:val="00285374"/>
    <w:rsid w:val="00287EB0"/>
    <w:rsid w:val="00290BDA"/>
    <w:rsid w:val="0029280A"/>
    <w:rsid w:val="00295FF8"/>
    <w:rsid w:val="00297B16"/>
    <w:rsid w:val="002A2BBC"/>
    <w:rsid w:val="002A2C2B"/>
    <w:rsid w:val="002A3A19"/>
    <w:rsid w:val="002A3DD9"/>
    <w:rsid w:val="002A3F38"/>
    <w:rsid w:val="002A68C2"/>
    <w:rsid w:val="002A75AF"/>
    <w:rsid w:val="002B0153"/>
    <w:rsid w:val="002B5581"/>
    <w:rsid w:val="002B5618"/>
    <w:rsid w:val="002B58BA"/>
    <w:rsid w:val="002B72BC"/>
    <w:rsid w:val="002B7E36"/>
    <w:rsid w:val="002C0453"/>
    <w:rsid w:val="002C46EE"/>
    <w:rsid w:val="002C70CD"/>
    <w:rsid w:val="002C78A1"/>
    <w:rsid w:val="002D050E"/>
    <w:rsid w:val="002D17C4"/>
    <w:rsid w:val="002D38CA"/>
    <w:rsid w:val="002D4388"/>
    <w:rsid w:val="002D4FA7"/>
    <w:rsid w:val="002D63D5"/>
    <w:rsid w:val="002D7801"/>
    <w:rsid w:val="002D7A87"/>
    <w:rsid w:val="002E210C"/>
    <w:rsid w:val="002E2A57"/>
    <w:rsid w:val="002E467E"/>
    <w:rsid w:val="002E4B32"/>
    <w:rsid w:val="002E51BE"/>
    <w:rsid w:val="002E6613"/>
    <w:rsid w:val="002F1333"/>
    <w:rsid w:val="002F24C4"/>
    <w:rsid w:val="002F28DF"/>
    <w:rsid w:val="002F517A"/>
    <w:rsid w:val="002F73AA"/>
    <w:rsid w:val="002F759A"/>
    <w:rsid w:val="00302C65"/>
    <w:rsid w:val="00302EEB"/>
    <w:rsid w:val="003036DE"/>
    <w:rsid w:val="00303A42"/>
    <w:rsid w:val="00303B41"/>
    <w:rsid w:val="00304777"/>
    <w:rsid w:val="003064C4"/>
    <w:rsid w:val="00306FB6"/>
    <w:rsid w:val="00307D6C"/>
    <w:rsid w:val="00313690"/>
    <w:rsid w:val="00315060"/>
    <w:rsid w:val="0031778F"/>
    <w:rsid w:val="0032041C"/>
    <w:rsid w:val="00323CDC"/>
    <w:rsid w:val="00323D2C"/>
    <w:rsid w:val="00324E74"/>
    <w:rsid w:val="00326A88"/>
    <w:rsid w:val="003300A8"/>
    <w:rsid w:val="00331417"/>
    <w:rsid w:val="0033249C"/>
    <w:rsid w:val="00332915"/>
    <w:rsid w:val="00332F33"/>
    <w:rsid w:val="00334586"/>
    <w:rsid w:val="00335B55"/>
    <w:rsid w:val="00336844"/>
    <w:rsid w:val="00337872"/>
    <w:rsid w:val="00340989"/>
    <w:rsid w:val="00345DC7"/>
    <w:rsid w:val="0034616A"/>
    <w:rsid w:val="00346C30"/>
    <w:rsid w:val="00346D51"/>
    <w:rsid w:val="003477C8"/>
    <w:rsid w:val="00350915"/>
    <w:rsid w:val="00350DE2"/>
    <w:rsid w:val="00351D0B"/>
    <w:rsid w:val="003559E2"/>
    <w:rsid w:val="00356DFA"/>
    <w:rsid w:val="003573A7"/>
    <w:rsid w:val="0036068E"/>
    <w:rsid w:val="00363736"/>
    <w:rsid w:val="00364665"/>
    <w:rsid w:val="0037051F"/>
    <w:rsid w:val="00371B69"/>
    <w:rsid w:val="00372879"/>
    <w:rsid w:val="00376F24"/>
    <w:rsid w:val="00380915"/>
    <w:rsid w:val="00380997"/>
    <w:rsid w:val="003814EC"/>
    <w:rsid w:val="003814F8"/>
    <w:rsid w:val="00382C7B"/>
    <w:rsid w:val="00382DF7"/>
    <w:rsid w:val="003841AE"/>
    <w:rsid w:val="003841BE"/>
    <w:rsid w:val="003857F6"/>
    <w:rsid w:val="00386013"/>
    <w:rsid w:val="0038612A"/>
    <w:rsid w:val="00386E53"/>
    <w:rsid w:val="0039474D"/>
    <w:rsid w:val="00397B7B"/>
    <w:rsid w:val="003A0685"/>
    <w:rsid w:val="003A0AA3"/>
    <w:rsid w:val="003A0BB7"/>
    <w:rsid w:val="003A36C9"/>
    <w:rsid w:val="003A3C44"/>
    <w:rsid w:val="003A4283"/>
    <w:rsid w:val="003A56C5"/>
    <w:rsid w:val="003A6251"/>
    <w:rsid w:val="003A6466"/>
    <w:rsid w:val="003A64A9"/>
    <w:rsid w:val="003A6A4D"/>
    <w:rsid w:val="003A6F87"/>
    <w:rsid w:val="003A70FD"/>
    <w:rsid w:val="003A7FE4"/>
    <w:rsid w:val="003B05B9"/>
    <w:rsid w:val="003B10EB"/>
    <w:rsid w:val="003B3F6F"/>
    <w:rsid w:val="003B4AE3"/>
    <w:rsid w:val="003B5729"/>
    <w:rsid w:val="003B6257"/>
    <w:rsid w:val="003B6403"/>
    <w:rsid w:val="003B69CA"/>
    <w:rsid w:val="003B6EB4"/>
    <w:rsid w:val="003B73F4"/>
    <w:rsid w:val="003C20EE"/>
    <w:rsid w:val="003C3102"/>
    <w:rsid w:val="003C4345"/>
    <w:rsid w:val="003C5D4A"/>
    <w:rsid w:val="003C6C6C"/>
    <w:rsid w:val="003C6D07"/>
    <w:rsid w:val="003C704C"/>
    <w:rsid w:val="003C79BD"/>
    <w:rsid w:val="003D3041"/>
    <w:rsid w:val="003D3E67"/>
    <w:rsid w:val="003E2264"/>
    <w:rsid w:val="003E35FC"/>
    <w:rsid w:val="003E3767"/>
    <w:rsid w:val="003E46AA"/>
    <w:rsid w:val="003E4A5E"/>
    <w:rsid w:val="003F1007"/>
    <w:rsid w:val="003F19A5"/>
    <w:rsid w:val="003F3520"/>
    <w:rsid w:val="003F382D"/>
    <w:rsid w:val="003F4172"/>
    <w:rsid w:val="003F66A6"/>
    <w:rsid w:val="003F7960"/>
    <w:rsid w:val="00401951"/>
    <w:rsid w:val="00401B7A"/>
    <w:rsid w:val="00401D02"/>
    <w:rsid w:val="00402F4B"/>
    <w:rsid w:val="00410ADF"/>
    <w:rsid w:val="00411427"/>
    <w:rsid w:val="00411855"/>
    <w:rsid w:val="00411C0B"/>
    <w:rsid w:val="00411D03"/>
    <w:rsid w:val="00411D22"/>
    <w:rsid w:val="00411FF2"/>
    <w:rsid w:val="00412DD0"/>
    <w:rsid w:val="00415497"/>
    <w:rsid w:val="00415A85"/>
    <w:rsid w:val="00417441"/>
    <w:rsid w:val="00417973"/>
    <w:rsid w:val="00420B04"/>
    <w:rsid w:val="00421245"/>
    <w:rsid w:val="004224F4"/>
    <w:rsid w:val="00422A3E"/>
    <w:rsid w:val="00424A3C"/>
    <w:rsid w:val="0042520F"/>
    <w:rsid w:val="004256F4"/>
    <w:rsid w:val="00425CF6"/>
    <w:rsid w:val="00426277"/>
    <w:rsid w:val="004274A4"/>
    <w:rsid w:val="00430EFE"/>
    <w:rsid w:val="004335C3"/>
    <w:rsid w:val="004405CF"/>
    <w:rsid w:val="00440908"/>
    <w:rsid w:val="00441325"/>
    <w:rsid w:val="00443244"/>
    <w:rsid w:val="00443262"/>
    <w:rsid w:val="00444620"/>
    <w:rsid w:val="004449BE"/>
    <w:rsid w:val="004547C7"/>
    <w:rsid w:val="00456592"/>
    <w:rsid w:val="0045667A"/>
    <w:rsid w:val="0045691B"/>
    <w:rsid w:val="0046374E"/>
    <w:rsid w:val="0046401F"/>
    <w:rsid w:val="0046428E"/>
    <w:rsid w:val="00465071"/>
    <w:rsid w:val="00465546"/>
    <w:rsid w:val="00465B63"/>
    <w:rsid w:val="0046679B"/>
    <w:rsid w:val="00470F5E"/>
    <w:rsid w:val="00471217"/>
    <w:rsid w:val="00471A60"/>
    <w:rsid w:val="00472B91"/>
    <w:rsid w:val="004746CA"/>
    <w:rsid w:val="00475691"/>
    <w:rsid w:val="0047728A"/>
    <w:rsid w:val="0048047A"/>
    <w:rsid w:val="00481A4E"/>
    <w:rsid w:val="00482E77"/>
    <w:rsid w:val="00484A54"/>
    <w:rsid w:val="00485302"/>
    <w:rsid w:val="00485EC6"/>
    <w:rsid w:val="00486C5C"/>
    <w:rsid w:val="00486F48"/>
    <w:rsid w:val="004877AB"/>
    <w:rsid w:val="00490CF7"/>
    <w:rsid w:val="00491E99"/>
    <w:rsid w:val="004920AD"/>
    <w:rsid w:val="004929D6"/>
    <w:rsid w:val="004929F8"/>
    <w:rsid w:val="00492B31"/>
    <w:rsid w:val="00495ACC"/>
    <w:rsid w:val="004A0602"/>
    <w:rsid w:val="004A1477"/>
    <w:rsid w:val="004A3C2F"/>
    <w:rsid w:val="004A4EB2"/>
    <w:rsid w:val="004A501D"/>
    <w:rsid w:val="004A51D6"/>
    <w:rsid w:val="004A5BB9"/>
    <w:rsid w:val="004A6A5E"/>
    <w:rsid w:val="004A7CEB"/>
    <w:rsid w:val="004B112F"/>
    <w:rsid w:val="004B1B5D"/>
    <w:rsid w:val="004B4DFC"/>
    <w:rsid w:val="004B5933"/>
    <w:rsid w:val="004B795F"/>
    <w:rsid w:val="004C096C"/>
    <w:rsid w:val="004C626A"/>
    <w:rsid w:val="004C70D4"/>
    <w:rsid w:val="004C7480"/>
    <w:rsid w:val="004C7D26"/>
    <w:rsid w:val="004D3C28"/>
    <w:rsid w:val="004D4A4D"/>
    <w:rsid w:val="004D51FB"/>
    <w:rsid w:val="004D5983"/>
    <w:rsid w:val="004D6873"/>
    <w:rsid w:val="004D6F01"/>
    <w:rsid w:val="004D70A6"/>
    <w:rsid w:val="004E05D5"/>
    <w:rsid w:val="004E05F4"/>
    <w:rsid w:val="004E3F65"/>
    <w:rsid w:val="004E5FEE"/>
    <w:rsid w:val="004E77D9"/>
    <w:rsid w:val="004E7C36"/>
    <w:rsid w:val="004E7F9E"/>
    <w:rsid w:val="004F0790"/>
    <w:rsid w:val="004F49E1"/>
    <w:rsid w:val="004F5B0C"/>
    <w:rsid w:val="00502593"/>
    <w:rsid w:val="0050287B"/>
    <w:rsid w:val="0051020A"/>
    <w:rsid w:val="00510868"/>
    <w:rsid w:val="005120D3"/>
    <w:rsid w:val="00513366"/>
    <w:rsid w:val="00513958"/>
    <w:rsid w:val="00517532"/>
    <w:rsid w:val="00520A0D"/>
    <w:rsid w:val="005219F9"/>
    <w:rsid w:val="00523C5E"/>
    <w:rsid w:val="00524687"/>
    <w:rsid w:val="0052654F"/>
    <w:rsid w:val="00526AAB"/>
    <w:rsid w:val="005278CD"/>
    <w:rsid w:val="00527DF9"/>
    <w:rsid w:val="00533352"/>
    <w:rsid w:val="00535B07"/>
    <w:rsid w:val="00540649"/>
    <w:rsid w:val="00540E1E"/>
    <w:rsid w:val="00541262"/>
    <w:rsid w:val="00550315"/>
    <w:rsid w:val="00552345"/>
    <w:rsid w:val="0055332A"/>
    <w:rsid w:val="00554C39"/>
    <w:rsid w:val="00555431"/>
    <w:rsid w:val="00556AD1"/>
    <w:rsid w:val="00562910"/>
    <w:rsid w:val="005630B3"/>
    <w:rsid w:val="00563380"/>
    <w:rsid w:val="00565905"/>
    <w:rsid w:val="00565DBA"/>
    <w:rsid w:val="00565EA5"/>
    <w:rsid w:val="00571387"/>
    <w:rsid w:val="0057172F"/>
    <w:rsid w:val="005723E1"/>
    <w:rsid w:val="00573522"/>
    <w:rsid w:val="00573813"/>
    <w:rsid w:val="00582634"/>
    <w:rsid w:val="00582A5D"/>
    <w:rsid w:val="00582C03"/>
    <w:rsid w:val="0058509E"/>
    <w:rsid w:val="00585412"/>
    <w:rsid w:val="0059068D"/>
    <w:rsid w:val="00590BE9"/>
    <w:rsid w:val="005917D9"/>
    <w:rsid w:val="005924CC"/>
    <w:rsid w:val="00596209"/>
    <w:rsid w:val="005975AF"/>
    <w:rsid w:val="005A1CBB"/>
    <w:rsid w:val="005A2EE1"/>
    <w:rsid w:val="005A5EB3"/>
    <w:rsid w:val="005B00F6"/>
    <w:rsid w:val="005B0271"/>
    <w:rsid w:val="005B1B7A"/>
    <w:rsid w:val="005B1EE5"/>
    <w:rsid w:val="005B50FC"/>
    <w:rsid w:val="005B5909"/>
    <w:rsid w:val="005B7B0B"/>
    <w:rsid w:val="005C136F"/>
    <w:rsid w:val="005C379E"/>
    <w:rsid w:val="005C3AF1"/>
    <w:rsid w:val="005C3EC0"/>
    <w:rsid w:val="005C5B9E"/>
    <w:rsid w:val="005C5C95"/>
    <w:rsid w:val="005D179F"/>
    <w:rsid w:val="005D2189"/>
    <w:rsid w:val="005D2865"/>
    <w:rsid w:val="005D2D39"/>
    <w:rsid w:val="005D33B1"/>
    <w:rsid w:val="005D4BA4"/>
    <w:rsid w:val="005D79FF"/>
    <w:rsid w:val="005E1D80"/>
    <w:rsid w:val="005E228F"/>
    <w:rsid w:val="005E375F"/>
    <w:rsid w:val="005E5057"/>
    <w:rsid w:val="005E5645"/>
    <w:rsid w:val="005E671F"/>
    <w:rsid w:val="005E6A9D"/>
    <w:rsid w:val="005E7514"/>
    <w:rsid w:val="005E760B"/>
    <w:rsid w:val="005F05B2"/>
    <w:rsid w:val="005F2A01"/>
    <w:rsid w:val="005F38BD"/>
    <w:rsid w:val="005F412D"/>
    <w:rsid w:val="005F4B00"/>
    <w:rsid w:val="005F5A9D"/>
    <w:rsid w:val="005F657F"/>
    <w:rsid w:val="00600273"/>
    <w:rsid w:val="00600622"/>
    <w:rsid w:val="00600A36"/>
    <w:rsid w:val="00600A4D"/>
    <w:rsid w:val="00600FD2"/>
    <w:rsid w:val="0060127C"/>
    <w:rsid w:val="00602D64"/>
    <w:rsid w:val="00604FDB"/>
    <w:rsid w:val="00607223"/>
    <w:rsid w:val="0060799E"/>
    <w:rsid w:val="00613446"/>
    <w:rsid w:val="00613CED"/>
    <w:rsid w:val="006140C0"/>
    <w:rsid w:val="006143F1"/>
    <w:rsid w:val="00615987"/>
    <w:rsid w:val="006159CA"/>
    <w:rsid w:val="00616D06"/>
    <w:rsid w:val="006178DC"/>
    <w:rsid w:val="006202F0"/>
    <w:rsid w:val="0062332B"/>
    <w:rsid w:val="00624120"/>
    <w:rsid w:val="00626E7E"/>
    <w:rsid w:val="006278E1"/>
    <w:rsid w:val="00627A42"/>
    <w:rsid w:val="006304DF"/>
    <w:rsid w:val="006306A0"/>
    <w:rsid w:val="0063109F"/>
    <w:rsid w:val="00631CAE"/>
    <w:rsid w:val="00633726"/>
    <w:rsid w:val="006345D9"/>
    <w:rsid w:val="006346A2"/>
    <w:rsid w:val="00634B09"/>
    <w:rsid w:val="00640967"/>
    <w:rsid w:val="0064139C"/>
    <w:rsid w:val="006425C2"/>
    <w:rsid w:val="00643A44"/>
    <w:rsid w:val="0064409D"/>
    <w:rsid w:val="00651DAD"/>
    <w:rsid w:val="0065203E"/>
    <w:rsid w:val="00652C27"/>
    <w:rsid w:val="00653249"/>
    <w:rsid w:val="00660ECD"/>
    <w:rsid w:val="00661912"/>
    <w:rsid w:val="006620F3"/>
    <w:rsid w:val="006623B6"/>
    <w:rsid w:val="006650EE"/>
    <w:rsid w:val="00665477"/>
    <w:rsid w:val="006660C4"/>
    <w:rsid w:val="00667369"/>
    <w:rsid w:val="00667482"/>
    <w:rsid w:val="00672758"/>
    <w:rsid w:val="0067541F"/>
    <w:rsid w:val="0067630F"/>
    <w:rsid w:val="00677CBF"/>
    <w:rsid w:val="006826F4"/>
    <w:rsid w:val="0068276E"/>
    <w:rsid w:val="00683B6B"/>
    <w:rsid w:val="00683EEE"/>
    <w:rsid w:val="00685D85"/>
    <w:rsid w:val="00690D8D"/>
    <w:rsid w:val="00690DA5"/>
    <w:rsid w:val="0069127B"/>
    <w:rsid w:val="00692A6B"/>
    <w:rsid w:val="00697040"/>
    <w:rsid w:val="006A1456"/>
    <w:rsid w:val="006A2185"/>
    <w:rsid w:val="006A27A6"/>
    <w:rsid w:val="006A56CD"/>
    <w:rsid w:val="006A6F22"/>
    <w:rsid w:val="006A74FF"/>
    <w:rsid w:val="006A751D"/>
    <w:rsid w:val="006B12A4"/>
    <w:rsid w:val="006B1BF1"/>
    <w:rsid w:val="006B1E55"/>
    <w:rsid w:val="006C0398"/>
    <w:rsid w:val="006C0BF8"/>
    <w:rsid w:val="006C24C2"/>
    <w:rsid w:val="006C27CB"/>
    <w:rsid w:val="006C3971"/>
    <w:rsid w:val="006C5E33"/>
    <w:rsid w:val="006C7425"/>
    <w:rsid w:val="006D0290"/>
    <w:rsid w:val="006D0455"/>
    <w:rsid w:val="006D09EC"/>
    <w:rsid w:val="006D20EB"/>
    <w:rsid w:val="006D4949"/>
    <w:rsid w:val="006D4A96"/>
    <w:rsid w:val="006D5AC2"/>
    <w:rsid w:val="006E395D"/>
    <w:rsid w:val="006E3D0D"/>
    <w:rsid w:val="006E6205"/>
    <w:rsid w:val="006E66E3"/>
    <w:rsid w:val="006E6741"/>
    <w:rsid w:val="006E778E"/>
    <w:rsid w:val="006E784F"/>
    <w:rsid w:val="006F0501"/>
    <w:rsid w:val="006F0E86"/>
    <w:rsid w:val="006F0EF2"/>
    <w:rsid w:val="006F1CB3"/>
    <w:rsid w:val="006F4136"/>
    <w:rsid w:val="006F520B"/>
    <w:rsid w:val="006F5BBF"/>
    <w:rsid w:val="006F6FC5"/>
    <w:rsid w:val="00701352"/>
    <w:rsid w:val="00705BB8"/>
    <w:rsid w:val="00706B3D"/>
    <w:rsid w:val="0071163F"/>
    <w:rsid w:val="007121B1"/>
    <w:rsid w:val="00712603"/>
    <w:rsid w:val="00716740"/>
    <w:rsid w:val="0072272C"/>
    <w:rsid w:val="0072400A"/>
    <w:rsid w:val="0072553E"/>
    <w:rsid w:val="007269B6"/>
    <w:rsid w:val="00727395"/>
    <w:rsid w:val="007277A8"/>
    <w:rsid w:val="00727848"/>
    <w:rsid w:val="00727DC5"/>
    <w:rsid w:val="0073009E"/>
    <w:rsid w:val="007308E3"/>
    <w:rsid w:val="00732E07"/>
    <w:rsid w:val="00733534"/>
    <w:rsid w:val="0073496C"/>
    <w:rsid w:val="0073735F"/>
    <w:rsid w:val="00740063"/>
    <w:rsid w:val="00740880"/>
    <w:rsid w:val="007420D4"/>
    <w:rsid w:val="00742701"/>
    <w:rsid w:val="0074368A"/>
    <w:rsid w:val="00743EF0"/>
    <w:rsid w:val="00744F76"/>
    <w:rsid w:val="007456BA"/>
    <w:rsid w:val="0074669D"/>
    <w:rsid w:val="00747D63"/>
    <w:rsid w:val="0075014E"/>
    <w:rsid w:val="00750722"/>
    <w:rsid w:val="007520D7"/>
    <w:rsid w:val="007522F8"/>
    <w:rsid w:val="00752C7D"/>
    <w:rsid w:val="00753B29"/>
    <w:rsid w:val="00753EFD"/>
    <w:rsid w:val="00755235"/>
    <w:rsid w:val="0075613D"/>
    <w:rsid w:val="00756B30"/>
    <w:rsid w:val="00756B96"/>
    <w:rsid w:val="00761862"/>
    <w:rsid w:val="00765200"/>
    <w:rsid w:val="00767881"/>
    <w:rsid w:val="007732D5"/>
    <w:rsid w:val="0077416D"/>
    <w:rsid w:val="00774531"/>
    <w:rsid w:val="00774BFA"/>
    <w:rsid w:val="00774D65"/>
    <w:rsid w:val="00776A20"/>
    <w:rsid w:val="007807B3"/>
    <w:rsid w:val="00780C79"/>
    <w:rsid w:val="0078295B"/>
    <w:rsid w:val="00783571"/>
    <w:rsid w:val="00783D0C"/>
    <w:rsid w:val="00784D7F"/>
    <w:rsid w:val="00785297"/>
    <w:rsid w:val="00785455"/>
    <w:rsid w:val="00785BD5"/>
    <w:rsid w:val="00785F6A"/>
    <w:rsid w:val="00786660"/>
    <w:rsid w:val="0078793A"/>
    <w:rsid w:val="007900AA"/>
    <w:rsid w:val="0079029E"/>
    <w:rsid w:val="007922F5"/>
    <w:rsid w:val="0079472A"/>
    <w:rsid w:val="00794CDB"/>
    <w:rsid w:val="007951DE"/>
    <w:rsid w:val="0079593F"/>
    <w:rsid w:val="007972E0"/>
    <w:rsid w:val="00797D1F"/>
    <w:rsid w:val="007A08ED"/>
    <w:rsid w:val="007A1390"/>
    <w:rsid w:val="007A2D18"/>
    <w:rsid w:val="007A3F29"/>
    <w:rsid w:val="007A7524"/>
    <w:rsid w:val="007A7C38"/>
    <w:rsid w:val="007B10DE"/>
    <w:rsid w:val="007B25E2"/>
    <w:rsid w:val="007B2626"/>
    <w:rsid w:val="007B2BB6"/>
    <w:rsid w:val="007B4510"/>
    <w:rsid w:val="007B473F"/>
    <w:rsid w:val="007B6031"/>
    <w:rsid w:val="007B77E9"/>
    <w:rsid w:val="007C0968"/>
    <w:rsid w:val="007C38CE"/>
    <w:rsid w:val="007D0506"/>
    <w:rsid w:val="007D0C20"/>
    <w:rsid w:val="007D16BC"/>
    <w:rsid w:val="007D17DF"/>
    <w:rsid w:val="007D2E0C"/>
    <w:rsid w:val="007D57F9"/>
    <w:rsid w:val="007E32AD"/>
    <w:rsid w:val="007E3565"/>
    <w:rsid w:val="007E53B0"/>
    <w:rsid w:val="007E55FE"/>
    <w:rsid w:val="007E5E9C"/>
    <w:rsid w:val="007E6874"/>
    <w:rsid w:val="007E6907"/>
    <w:rsid w:val="007F178E"/>
    <w:rsid w:val="007F2737"/>
    <w:rsid w:val="007F3D5B"/>
    <w:rsid w:val="007F72C0"/>
    <w:rsid w:val="007F7E06"/>
    <w:rsid w:val="00801473"/>
    <w:rsid w:val="00803397"/>
    <w:rsid w:val="00803E42"/>
    <w:rsid w:val="00804D0A"/>
    <w:rsid w:val="00804DDE"/>
    <w:rsid w:val="0080621A"/>
    <w:rsid w:val="00807199"/>
    <w:rsid w:val="0081068C"/>
    <w:rsid w:val="00814575"/>
    <w:rsid w:val="00814B95"/>
    <w:rsid w:val="008201AF"/>
    <w:rsid w:val="00820292"/>
    <w:rsid w:val="00820F06"/>
    <w:rsid w:val="0082104C"/>
    <w:rsid w:val="00822ADC"/>
    <w:rsid w:val="0082390F"/>
    <w:rsid w:val="00824845"/>
    <w:rsid w:val="00824C5D"/>
    <w:rsid w:val="0082770D"/>
    <w:rsid w:val="008313E0"/>
    <w:rsid w:val="00832B84"/>
    <w:rsid w:val="0083594A"/>
    <w:rsid w:val="008402C5"/>
    <w:rsid w:val="0084075B"/>
    <w:rsid w:val="008447B6"/>
    <w:rsid w:val="008461C6"/>
    <w:rsid w:val="00846BDB"/>
    <w:rsid w:val="00846C58"/>
    <w:rsid w:val="008473D7"/>
    <w:rsid w:val="0085291B"/>
    <w:rsid w:val="0085328B"/>
    <w:rsid w:val="0085328F"/>
    <w:rsid w:val="00855884"/>
    <w:rsid w:val="00856B85"/>
    <w:rsid w:val="00856FCE"/>
    <w:rsid w:val="008577E7"/>
    <w:rsid w:val="0086477D"/>
    <w:rsid w:val="00875E7A"/>
    <w:rsid w:val="008761A2"/>
    <w:rsid w:val="008774AC"/>
    <w:rsid w:val="00882468"/>
    <w:rsid w:val="00882E7A"/>
    <w:rsid w:val="00882F6E"/>
    <w:rsid w:val="00883B20"/>
    <w:rsid w:val="00883C36"/>
    <w:rsid w:val="008856E1"/>
    <w:rsid w:val="00886F00"/>
    <w:rsid w:val="008913EC"/>
    <w:rsid w:val="00891F63"/>
    <w:rsid w:val="00892903"/>
    <w:rsid w:val="008930E9"/>
    <w:rsid w:val="00893A99"/>
    <w:rsid w:val="008979BA"/>
    <w:rsid w:val="008A0604"/>
    <w:rsid w:val="008A2907"/>
    <w:rsid w:val="008A2F1C"/>
    <w:rsid w:val="008A3A22"/>
    <w:rsid w:val="008A406D"/>
    <w:rsid w:val="008A47C1"/>
    <w:rsid w:val="008A5CA8"/>
    <w:rsid w:val="008A5F1C"/>
    <w:rsid w:val="008B0118"/>
    <w:rsid w:val="008B465F"/>
    <w:rsid w:val="008B6E28"/>
    <w:rsid w:val="008C0C0F"/>
    <w:rsid w:val="008C116A"/>
    <w:rsid w:val="008C11A9"/>
    <w:rsid w:val="008C2D53"/>
    <w:rsid w:val="008C3452"/>
    <w:rsid w:val="008C4538"/>
    <w:rsid w:val="008C459B"/>
    <w:rsid w:val="008C5363"/>
    <w:rsid w:val="008C547B"/>
    <w:rsid w:val="008C7C5D"/>
    <w:rsid w:val="008D1B48"/>
    <w:rsid w:val="008D1DF6"/>
    <w:rsid w:val="008D2DDA"/>
    <w:rsid w:val="008D602B"/>
    <w:rsid w:val="008D6B52"/>
    <w:rsid w:val="008E32DD"/>
    <w:rsid w:val="008E34B1"/>
    <w:rsid w:val="008E5648"/>
    <w:rsid w:val="008E7423"/>
    <w:rsid w:val="008F0557"/>
    <w:rsid w:val="008F1C8D"/>
    <w:rsid w:val="008F2B84"/>
    <w:rsid w:val="008F2C21"/>
    <w:rsid w:val="008F34D7"/>
    <w:rsid w:val="008F5DE1"/>
    <w:rsid w:val="008F68C5"/>
    <w:rsid w:val="008F7794"/>
    <w:rsid w:val="00900B20"/>
    <w:rsid w:val="00900D1F"/>
    <w:rsid w:val="00902961"/>
    <w:rsid w:val="009040FC"/>
    <w:rsid w:val="009049B4"/>
    <w:rsid w:val="00904CEB"/>
    <w:rsid w:val="00905E1C"/>
    <w:rsid w:val="009061D0"/>
    <w:rsid w:val="00910259"/>
    <w:rsid w:val="009118B7"/>
    <w:rsid w:val="00913577"/>
    <w:rsid w:val="00914D04"/>
    <w:rsid w:val="00914E09"/>
    <w:rsid w:val="009162C8"/>
    <w:rsid w:val="009167F5"/>
    <w:rsid w:val="00916D02"/>
    <w:rsid w:val="00921581"/>
    <w:rsid w:val="00923D78"/>
    <w:rsid w:val="00924646"/>
    <w:rsid w:val="00924B97"/>
    <w:rsid w:val="00925ADE"/>
    <w:rsid w:val="009266CA"/>
    <w:rsid w:val="00927F64"/>
    <w:rsid w:val="009302F8"/>
    <w:rsid w:val="00931AAA"/>
    <w:rsid w:val="00931E45"/>
    <w:rsid w:val="00932A32"/>
    <w:rsid w:val="00935F7B"/>
    <w:rsid w:val="00935FC2"/>
    <w:rsid w:val="009372DB"/>
    <w:rsid w:val="00937996"/>
    <w:rsid w:val="00937E0C"/>
    <w:rsid w:val="009409B0"/>
    <w:rsid w:val="0094245D"/>
    <w:rsid w:val="00943D72"/>
    <w:rsid w:val="009457B9"/>
    <w:rsid w:val="00946501"/>
    <w:rsid w:val="0094653E"/>
    <w:rsid w:val="00947F97"/>
    <w:rsid w:val="009531FB"/>
    <w:rsid w:val="0095440A"/>
    <w:rsid w:val="00956C52"/>
    <w:rsid w:val="0096057A"/>
    <w:rsid w:val="00963983"/>
    <w:rsid w:val="009652B7"/>
    <w:rsid w:val="00965F18"/>
    <w:rsid w:val="0096618C"/>
    <w:rsid w:val="00966A1C"/>
    <w:rsid w:val="00967572"/>
    <w:rsid w:val="0097188E"/>
    <w:rsid w:val="00972D75"/>
    <w:rsid w:val="009743EF"/>
    <w:rsid w:val="00976516"/>
    <w:rsid w:val="00976BD3"/>
    <w:rsid w:val="00977C4A"/>
    <w:rsid w:val="009808FD"/>
    <w:rsid w:val="00980A42"/>
    <w:rsid w:val="00981492"/>
    <w:rsid w:val="00981852"/>
    <w:rsid w:val="00982090"/>
    <w:rsid w:val="00983767"/>
    <w:rsid w:val="009963B9"/>
    <w:rsid w:val="009A051B"/>
    <w:rsid w:val="009A05DC"/>
    <w:rsid w:val="009A0C9A"/>
    <w:rsid w:val="009A0DDA"/>
    <w:rsid w:val="009A5329"/>
    <w:rsid w:val="009A66B4"/>
    <w:rsid w:val="009B2785"/>
    <w:rsid w:val="009B2B79"/>
    <w:rsid w:val="009B4ABA"/>
    <w:rsid w:val="009B5944"/>
    <w:rsid w:val="009B5C8C"/>
    <w:rsid w:val="009C2743"/>
    <w:rsid w:val="009C2F0C"/>
    <w:rsid w:val="009C4C72"/>
    <w:rsid w:val="009C5BCD"/>
    <w:rsid w:val="009C645D"/>
    <w:rsid w:val="009D12CD"/>
    <w:rsid w:val="009D14B2"/>
    <w:rsid w:val="009D3495"/>
    <w:rsid w:val="009D38C6"/>
    <w:rsid w:val="009D4863"/>
    <w:rsid w:val="009E3AF0"/>
    <w:rsid w:val="009E451F"/>
    <w:rsid w:val="009E5BEF"/>
    <w:rsid w:val="009E663A"/>
    <w:rsid w:val="009E7265"/>
    <w:rsid w:val="009E729A"/>
    <w:rsid w:val="009E7A81"/>
    <w:rsid w:val="009F02A1"/>
    <w:rsid w:val="009F1298"/>
    <w:rsid w:val="009F138C"/>
    <w:rsid w:val="009F184B"/>
    <w:rsid w:val="009F1A41"/>
    <w:rsid w:val="009F2341"/>
    <w:rsid w:val="009F2CF8"/>
    <w:rsid w:val="009F4361"/>
    <w:rsid w:val="00A0191D"/>
    <w:rsid w:val="00A01962"/>
    <w:rsid w:val="00A02E33"/>
    <w:rsid w:val="00A040D5"/>
    <w:rsid w:val="00A04F7A"/>
    <w:rsid w:val="00A10DEB"/>
    <w:rsid w:val="00A12425"/>
    <w:rsid w:val="00A12657"/>
    <w:rsid w:val="00A17C81"/>
    <w:rsid w:val="00A20729"/>
    <w:rsid w:val="00A211B6"/>
    <w:rsid w:val="00A21B4E"/>
    <w:rsid w:val="00A21CC9"/>
    <w:rsid w:val="00A22D26"/>
    <w:rsid w:val="00A24640"/>
    <w:rsid w:val="00A24925"/>
    <w:rsid w:val="00A25B69"/>
    <w:rsid w:val="00A311DC"/>
    <w:rsid w:val="00A32DA3"/>
    <w:rsid w:val="00A32EFD"/>
    <w:rsid w:val="00A32F30"/>
    <w:rsid w:val="00A37EBA"/>
    <w:rsid w:val="00A37FA9"/>
    <w:rsid w:val="00A41388"/>
    <w:rsid w:val="00A4197F"/>
    <w:rsid w:val="00A430C0"/>
    <w:rsid w:val="00A43A90"/>
    <w:rsid w:val="00A44836"/>
    <w:rsid w:val="00A47084"/>
    <w:rsid w:val="00A4792F"/>
    <w:rsid w:val="00A47C62"/>
    <w:rsid w:val="00A50E76"/>
    <w:rsid w:val="00A520D8"/>
    <w:rsid w:val="00A559EA"/>
    <w:rsid w:val="00A57329"/>
    <w:rsid w:val="00A60240"/>
    <w:rsid w:val="00A60A42"/>
    <w:rsid w:val="00A6191B"/>
    <w:rsid w:val="00A62FE2"/>
    <w:rsid w:val="00A63CE3"/>
    <w:rsid w:val="00A6401D"/>
    <w:rsid w:val="00A65593"/>
    <w:rsid w:val="00A661FB"/>
    <w:rsid w:val="00A6797E"/>
    <w:rsid w:val="00A70844"/>
    <w:rsid w:val="00A74789"/>
    <w:rsid w:val="00A74A4C"/>
    <w:rsid w:val="00A773EB"/>
    <w:rsid w:val="00A80013"/>
    <w:rsid w:val="00A80E8A"/>
    <w:rsid w:val="00A936E6"/>
    <w:rsid w:val="00A94780"/>
    <w:rsid w:val="00A961ED"/>
    <w:rsid w:val="00AA0FEC"/>
    <w:rsid w:val="00AA1A37"/>
    <w:rsid w:val="00AA33CB"/>
    <w:rsid w:val="00AA3CC2"/>
    <w:rsid w:val="00AA4EC4"/>
    <w:rsid w:val="00AA5059"/>
    <w:rsid w:val="00AA537D"/>
    <w:rsid w:val="00AA5C76"/>
    <w:rsid w:val="00AA5DB9"/>
    <w:rsid w:val="00AB0983"/>
    <w:rsid w:val="00AB1817"/>
    <w:rsid w:val="00AB1870"/>
    <w:rsid w:val="00AB2B10"/>
    <w:rsid w:val="00AB5AD6"/>
    <w:rsid w:val="00AC182F"/>
    <w:rsid w:val="00AC219D"/>
    <w:rsid w:val="00AC267C"/>
    <w:rsid w:val="00AC4189"/>
    <w:rsid w:val="00AC76FA"/>
    <w:rsid w:val="00AC7D61"/>
    <w:rsid w:val="00AD1364"/>
    <w:rsid w:val="00AD308B"/>
    <w:rsid w:val="00AD3E8F"/>
    <w:rsid w:val="00AD647F"/>
    <w:rsid w:val="00AD669D"/>
    <w:rsid w:val="00AE0B13"/>
    <w:rsid w:val="00AE1891"/>
    <w:rsid w:val="00AE202A"/>
    <w:rsid w:val="00AE2C2C"/>
    <w:rsid w:val="00AE38B0"/>
    <w:rsid w:val="00AE3D82"/>
    <w:rsid w:val="00AE5ECC"/>
    <w:rsid w:val="00AE7A9D"/>
    <w:rsid w:val="00AF05D0"/>
    <w:rsid w:val="00AF077A"/>
    <w:rsid w:val="00AF2904"/>
    <w:rsid w:val="00AF50DB"/>
    <w:rsid w:val="00AF5614"/>
    <w:rsid w:val="00AF5722"/>
    <w:rsid w:val="00AF60A4"/>
    <w:rsid w:val="00AF71C5"/>
    <w:rsid w:val="00B00185"/>
    <w:rsid w:val="00B003E3"/>
    <w:rsid w:val="00B00FF0"/>
    <w:rsid w:val="00B010C4"/>
    <w:rsid w:val="00B0213A"/>
    <w:rsid w:val="00B03F87"/>
    <w:rsid w:val="00B043C0"/>
    <w:rsid w:val="00B1023B"/>
    <w:rsid w:val="00B10F33"/>
    <w:rsid w:val="00B12460"/>
    <w:rsid w:val="00B126AF"/>
    <w:rsid w:val="00B130AB"/>
    <w:rsid w:val="00B13267"/>
    <w:rsid w:val="00B14611"/>
    <w:rsid w:val="00B14C32"/>
    <w:rsid w:val="00B14DD4"/>
    <w:rsid w:val="00B16990"/>
    <w:rsid w:val="00B16CD7"/>
    <w:rsid w:val="00B17337"/>
    <w:rsid w:val="00B226D9"/>
    <w:rsid w:val="00B234DD"/>
    <w:rsid w:val="00B315EC"/>
    <w:rsid w:val="00B32D53"/>
    <w:rsid w:val="00B3300B"/>
    <w:rsid w:val="00B341E5"/>
    <w:rsid w:val="00B351DA"/>
    <w:rsid w:val="00B36C1C"/>
    <w:rsid w:val="00B3766C"/>
    <w:rsid w:val="00B37D09"/>
    <w:rsid w:val="00B40CBC"/>
    <w:rsid w:val="00B415A1"/>
    <w:rsid w:val="00B45E6F"/>
    <w:rsid w:val="00B472B8"/>
    <w:rsid w:val="00B504B5"/>
    <w:rsid w:val="00B50661"/>
    <w:rsid w:val="00B50B00"/>
    <w:rsid w:val="00B5190F"/>
    <w:rsid w:val="00B51FA9"/>
    <w:rsid w:val="00B530F1"/>
    <w:rsid w:val="00B53193"/>
    <w:rsid w:val="00B55C27"/>
    <w:rsid w:val="00B55DA6"/>
    <w:rsid w:val="00B567B7"/>
    <w:rsid w:val="00B56B05"/>
    <w:rsid w:val="00B57758"/>
    <w:rsid w:val="00B606CD"/>
    <w:rsid w:val="00B60FBF"/>
    <w:rsid w:val="00B610F8"/>
    <w:rsid w:val="00B61583"/>
    <w:rsid w:val="00B703AB"/>
    <w:rsid w:val="00B70B04"/>
    <w:rsid w:val="00B71223"/>
    <w:rsid w:val="00B75C36"/>
    <w:rsid w:val="00B772DB"/>
    <w:rsid w:val="00B82A57"/>
    <w:rsid w:val="00B82ABA"/>
    <w:rsid w:val="00B83650"/>
    <w:rsid w:val="00B83E6B"/>
    <w:rsid w:val="00B8432C"/>
    <w:rsid w:val="00B85F0D"/>
    <w:rsid w:val="00B86291"/>
    <w:rsid w:val="00B86877"/>
    <w:rsid w:val="00B87B64"/>
    <w:rsid w:val="00B9075D"/>
    <w:rsid w:val="00B90F4B"/>
    <w:rsid w:val="00B92AC9"/>
    <w:rsid w:val="00B934D4"/>
    <w:rsid w:val="00B9392A"/>
    <w:rsid w:val="00B96A8D"/>
    <w:rsid w:val="00BA1901"/>
    <w:rsid w:val="00BA2FDE"/>
    <w:rsid w:val="00BA3434"/>
    <w:rsid w:val="00BB2A9F"/>
    <w:rsid w:val="00BB2F8B"/>
    <w:rsid w:val="00BB3ACA"/>
    <w:rsid w:val="00BB6745"/>
    <w:rsid w:val="00BB7405"/>
    <w:rsid w:val="00BC0A42"/>
    <w:rsid w:val="00BC1989"/>
    <w:rsid w:val="00BC1F2A"/>
    <w:rsid w:val="00BC207E"/>
    <w:rsid w:val="00BC305D"/>
    <w:rsid w:val="00BC3208"/>
    <w:rsid w:val="00BC3272"/>
    <w:rsid w:val="00BC32F4"/>
    <w:rsid w:val="00BC3F53"/>
    <w:rsid w:val="00BC4043"/>
    <w:rsid w:val="00BD0ACF"/>
    <w:rsid w:val="00BD2055"/>
    <w:rsid w:val="00BD274E"/>
    <w:rsid w:val="00BD5088"/>
    <w:rsid w:val="00BD68C6"/>
    <w:rsid w:val="00BD7C90"/>
    <w:rsid w:val="00BD7E48"/>
    <w:rsid w:val="00BE0193"/>
    <w:rsid w:val="00BE17CE"/>
    <w:rsid w:val="00BE2315"/>
    <w:rsid w:val="00BE3ABC"/>
    <w:rsid w:val="00BE3F56"/>
    <w:rsid w:val="00BE4772"/>
    <w:rsid w:val="00BE4F10"/>
    <w:rsid w:val="00BE59B1"/>
    <w:rsid w:val="00BE6E84"/>
    <w:rsid w:val="00BF064E"/>
    <w:rsid w:val="00BF3D2B"/>
    <w:rsid w:val="00BF4949"/>
    <w:rsid w:val="00BF7DFC"/>
    <w:rsid w:val="00C022B6"/>
    <w:rsid w:val="00C04F47"/>
    <w:rsid w:val="00C07932"/>
    <w:rsid w:val="00C134F6"/>
    <w:rsid w:val="00C141D7"/>
    <w:rsid w:val="00C1438E"/>
    <w:rsid w:val="00C14B8C"/>
    <w:rsid w:val="00C150FA"/>
    <w:rsid w:val="00C15B28"/>
    <w:rsid w:val="00C17F9B"/>
    <w:rsid w:val="00C22045"/>
    <w:rsid w:val="00C23DDE"/>
    <w:rsid w:val="00C23F0C"/>
    <w:rsid w:val="00C240EE"/>
    <w:rsid w:val="00C24297"/>
    <w:rsid w:val="00C24545"/>
    <w:rsid w:val="00C25B0E"/>
    <w:rsid w:val="00C25C47"/>
    <w:rsid w:val="00C2780D"/>
    <w:rsid w:val="00C30DF3"/>
    <w:rsid w:val="00C3132D"/>
    <w:rsid w:val="00C315B7"/>
    <w:rsid w:val="00C31FF5"/>
    <w:rsid w:val="00C32118"/>
    <w:rsid w:val="00C32A7E"/>
    <w:rsid w:val="00C35461"/>
    <w:rsid w:val="00C35D3E"/>
    <w:rsid w:val="00C35F57"/>
    <w:rsid w:val="00C372BA"/>
    <w:rsid w:val="00C404A0"/>
    <w:rsid w:val="00C41C8B"/>
    <w:rsid w:val="00C42D46"/>
    <w:rsid w:val="00C4381B"/>
    <w:rsid w:val="00C43C0A"/>
    <w:rsid w:val="00C45135"/>
    <w:rsid w:val="00C45F72"/>
    <w:rsid w:val="00C46781"/>
    <w:rsid w:val="00C46B51"/>
    <w:rsid w:val="00C46FF4"/>
    <w:rsid w:val="00C510FC"/>
    <w:rsid w:val="00C54F0E"/>
    <w:rsid w:val="00C57171"/>
    <w:rsid w:val="00C57FB2"/>
    <w:rsid w:val="00C6144F"/>
    <w:rsid w:val="00C61E04"/>
    <w:rsid w:val="00C627CA"/>
    <w:rsid w:val="00C6589F"/>
    <w:rsid w:val="00C66382"/>
    <w:rsid w:val="00C67CAF"/>
    <w:rsid w:val="00C70C40"/>
    <w:rsid w:val="00C71547"/>
    <w:rsid w:val="00C73CF5"/>
    <w:rsid w:val="00C73D78"/>
    <w:rsid w:val="00C73F9F"/>
    <w:rsid w:val="00C76153"/>
    <w:rsid w:val="00C76C60"/>
    <w:rsid w:val="00C803DE"/>
    <w:rsid w:val="00C811A7"/>
    <w:rsid w:val="00C81CD6"/>
    <w:rsid w:val="00C831A9"/>
    <w:rsid w:val="00C84B67"/>
    <w:rsid w:val="00C853AD"/>
    <w:rsid w:val="00C86346"/>
    <w:rsid w:val="00C91DEC"/>
    <w:rsid w:val="00C92311"/>
    <w:rsid w:val="00C92E9C"/>
    <w:rsid w:val="00C93507"/>
    <w:rsid w:val="00C95719"/>
    <w:rsid w:val="00C975F5"/>
    <w:rsid w:val="00CA0BE1"/>
    <w:rsid w:val="00CA1318"/>
    <w:rsid w:val="00CA44B5"/>
    <w:rsid w:val="00CA738C"/>
    <w:rsid w:val="00CB01E1"/>
    <w:rsid w:val="00CB0824"/>
    <w:rsid w:val="00CB0A78"/>
    <w:rsid w:val="00CB0C18"/>
    <w:rsid w:val="00CB0DD1"/>
    <w:rsid w:val="00CB1AC2"/>
    <w:rsid w:val="00CB4B01"/>
    <w:rsid w:val="00CB4EFD"/>
    <w:rsid w:val="00CC09FA"/>
    <w:rsid w:val="00CC2D9C"/>
    <w:rsid w:val="00CC3CB9"/>
    <w:rsid w:val="00CC5EE6"/>
    <w:rsid w:val="00CC768B"/>
    <w:rsid w:val="00CC7C52"/>
    <w:rsid w:val="00CD2090"/>
    <w:rsid w:val="00CD4E45"/>
    <w:rsid w:val="00CD751C"/>
    <w:rsid w:val="00CE024A"/>
    <w:rsid w:val="00CE1359"/>
    <w:rsid w:val="00CE4DA8"/>
    <w:rsid w:val="00CE539D"/>
    <w:rsid w:val="00CE62B2"/>
    <w:rsid w:val="00CF0BDA"/>
    <w:rsid w:val="00CF2FAF"/>
    <w:rsid w:val="00CF5C48"/>
    <w:rsid w:val="00CF7F51"/>
    <w:rsid w:val="00D01D0B"/>
    <w:rsid w:val="00D01F01"/>
    <w:rsid w:val="00D022F8"/>
    <w:rsid w:val="00D02342"/>
    <w:rsid w:val="00D039E7"/>
    <w:rsid w:val="00D03AF3"/>
    <w:rsid w:val="00D11051"/>
    <w:rsid w:val="00D12898"/>
    <w:rsid w:val="00D1500A"/>
    <w:rsid w:val="00D15EDF"/>
    <w:rsid w:val="00D17B49"/>
    <w:rsid w:val="00D17FBD"/>
    <w:rsid w:val="00D203AF"/>
    <w:rsid w:val="00D21C2E"/>
    <w:rsid w:val="00D233FF"/>
    <w:rsid w:val="00D24320"/>
    <w:rsid w:val="00D25A03"/>
    <w:rsid w:val="00D269C2"/>
    <w:rsid w:val="00D27FC1"/>
    <w:rsid w:val="00D34913"/>
    <w:rsid w:val="00D36D0A"/>
    <w:rsid w:val="00D36D43"/>
    <w:rsid w:val="00D36F80"/>
    <w:rsid w:val="00D37115"/>
    <w:rsid w:val="00D3791C"/>
    <w:rsid w:val="00D418F3"/>
    <w:rsid w:val="00D42AB3"/>
    <w:rsid w:val="00D448D4"/>
    <w:rsid w:val="00D46370"/>
    <w:rsid w:val="00D46F87"/>
    <w:rsid w:val="00D51422"/>
    <w:rsid w:val="00D51A7F"/>
    <w:rsid w:val="00D51CC2"/>
    <w:rsid w:val="00D51FF4"/>
    <w:rsid w:val="00D52AE5"/>
    <w:rsid w:val="00D54A6E"/>
    <w:rsid w:val="00D54D51"/>
    <w:rsid w:val="00D559B2"/>
    <w:rsid w:val="00D602DE"/>
    <w:rsid w:val="00D60DD6"/>
    <w:rsid w:val="00D6105C"/>
    <w:rsid w:val="00D64008"/>
    <w:rsid w:val="00D65882"/>
    <w:rsid w:val="00D671F8"/>
    <w:rsid w:val="00D674BE"/>
    <w:rsid w:val="00D7039B"/>
    <w:rsid w:val="00D71426"/>
    <w:rsid w:val="00D72707"/>
    <w:rsid w:val="00D7363A"/>
    <w:rsid w:val="00D73B6F"/>
    <w:rsid w:val="00D74770"/>
    <w:rsid w:val="00D74923"/>
    <w:rsid w:val="00D77C15"/>
    <w:rsid w:val="00D77F6B"/>
    <w:rsid w:val="00D8284A"/>
    <w:rsid w:val="00D8464F"/>
    <w:rsid w:val="00D84A5E"/>
    <w:rsid w:val="00D84CF1"/>
    <w:rsid w:val="00D87E71"/>
    <w:rsid w:val="00D87F8D"/>
    <w:rsid w:val="00D90DCB"/>
    <w:rsid w:val="00D93CDE"/>
    <w:rsid w:val="00D94298"/>
    <w:rsid w:val="00D95525"/>
    <w:rsid w:val="00D95A63"/>
    <w:rsid w:val="00DA08D8"/>
    <w:rsid w:val="00DA291F"/>
    <w:rsid w:val="00DA3A55"/>
    <w:rsid w:val="00DA7613"/>
    <w:rsid w:val="00DB4199"/>
    <w:rsid w:val="00DB7C18"/>
    <w:rsid w:val="00DC0892"/>
    <w:rsid w:val="00DC18A7"/>
    <w:rsid w:val="00DC1D33"/>
    <w:rsid w:val="00DC3A2C"/>
    <w:rsid w:val="00DC488B"/>
    <w:rsid w:val="00DC66C3"/>
    <w:rsid w:val="00DC7B73"/>
    <w:rsid w:val="00DD2BE0"/>
    <w:rsid w:val="00DD543A"/>
    <w:rsid w:val="00DD5C8F"/>
    <w:rsid w:val="00DD7D98"/>
    <w:rsid w:val="00DE36D6"/>
    <w:rsid w:val="00DF2872"/>
    <w:rsid w:val="00DF2A72"/>
    <w:rsid w:val="00DF4DC3"/>
    <w:rsid w:val="00DF5202"/>
    <w:rsid w:val="00DF6BE9"/>
    <w:rsid w:val="00DF6F18"/>
    <w:rsid w:val="00E00C50"/>
    <w:rsid w:val="00E026AB"/>
    <w:rsid w:val="00E02A63"/>
    <w:rsid w:val="00E032AE"/>
    <w:rsid w:val="00E04759"/>
    <w:rsid w:val="00E050BD"/>
    <w:rsid w:val="00E07047"/>
    <w:rsid w:val="00E07DB1"/>
    <w:rsid w:val="00E125BE"/>
    <w:rsid w:val="00E14284"/>
    <w:rsid w:val="00E16258"/>
    <w:rsid w:val="00E175E1"/>
    <w:rsid w:val="00E17B87"/>
    <w:rsid w:val="00E2003C"/>
    <w:rsid w:val="00E20E60"/>
    <w:rsid w:val="00E239C6"/>
    <w:rsid w:val="00E256EE"/>
    <w:rsid w:val="00E26347"/>
    <w:rsid w:val="00E307CE"/>
    <w:rsid w:val="00E32C37"/>
    <w:rsid w:val="00E34D4A"/>
    <w:rsid w:val="00E37C0E"/>
    <w:rsid w:val="00E41701"/>
    <w:rsid w:val="00E41838"/>
    <w:rsid w:val="00E42001"/>
    <w:rsid w:val="00E43E8C"/>
    <w:rsid w:val="00E44646"/>
    <w:rsid w:val="00E44B5A"/>
    <w:rsid w:val="00E45002"/>
    <w:rsid w:val="00E450E2"/>
    <w:rsid w:val="00E5002C"/>
    <w:rsid w:val="00E540BE"/>
    <w:rsid w:val="00E553DD"/>
    <w:rsid w:val="00E554CE"/>
    <w:rsid w:val="00E5569D"/>
    <w:rsid w:val="00E570A5"/>
    <w:rsid w:val="00E577D5"/>
    <w:rsid w:val="00E57F60"/>
    <w:rsid w:val="00E62047"/>
    <w:rsid w:val="00E6323F"/>
    <w:rsid w:val="00E632FB"/>
    <w:rsid w:val="00E67675"/>
    <w:rsid w:val="00E67A8E"/>
    <w:rsid w:val="00E7259E"/>
    <w:rsid w:val="00E7475D"/>
    <w:rsid w:val="00E74CC8"/>
    <w:rsid w:val="00E74DB8"/>
    <w:rsid w:val="00E7511D"/>
    <w:rsid w:val="00E76079"/>
    <w:rsid w:val="00E763BC"/>
    <w:rsid w:val="00E84893"/>
    <w:rsid w:val="00E84CC6"/>
    <w:rsid w:val="00E87727"/>
    <w:rsid w:val="00E92757"/>
    <w:rsid w:val="00E941AD"/>
    <w:rsid w:val="00E9481A"/>
    <w:rsid w:val="00E953B0"/>
    <w:rsid w:val="00EA00E3"/>
    <w:rsid w:val="00EA3526"/>
    <w:rsid w:val="00EA532B"/>
    <w:rsid w:val="00EA5B47"/>
    <w:rsid w:val="00EA6DE7"/>
    <w:rsid w:val="00EA7AE6"/>
    <w:rsid w:val="00EA7F9B"/>
    <w:rsid w:val="00EB174E"/>
    <w:rsid w:val="00EB243E"/>
    <w:rsid w:val="00EB27FE"/>
    <w:rsid w:val="00EB2EBC"/>
    <w:rsid w:val="00EB3633"/>
    <w:rsid w:val="00EB4A24"/>
    <w:rsid w:val="00EB6118"/>
    <w:rsid w:val="00EB66DF"/>
    <w:rsid w:val="00EC018A"/>
    <w:rsid w:val="00EC0360"/>
    <w:rsid w:val="00EC3178"/>
    <w:rsid w:val="00EC3DAE"/>
    <w:rsid w:val="00EC45CD"/>
    <w:rsid w:val="00EC4D99"/>
    <w:rsid w:val="00EC5EEB"/>
    <w:rsid w:val="00EC6951"/>
    <w:rsid w:val="00EC6BD7"/>
    <w:rsid w:val="00EC74C8"/>
    <w:rsid w:val="00ED23B3"/>
    <w:rsid w:val="00ED7F4F"/>
    <w:rsid w:val="00EE03EC"/>
    <w:rsid w:val="00EE0731"/>
    <w:rsid w:val="00EE2562"/>
    <w:rsid w:val="00EE2825"/>
    <w:rsid w:val="00EE2B03"/>
    <w:rsid w:val="00EE493A"/>
    <w:rsid w:val="00EE4C1E"/>
    <w:rsid w:val="00EE5DD6"/>
    <w:rsid w:val="00EE69C8"/>
    <w:rsid w:val="00EF000F"/>
    <w:rsid w:val="00EF0A8F"/>
    <w:rsid w:val="00EF1282"/>
    <w:rsid w:val="00EF261D"/>
    <w:rsid w:val="00EF38C8"/>
    <w:rsid w:val="00EF42BD"/>
    <w:rsid w:val="00EF7876"/>
    <w:rsid w:val="00F009C7"/>
    <w:rsid w:val="00F00FAD"/>
    <w:rsid w:val="00F01DD3"/>
    <w:rsid w:val="00F02628"/>
    <w:rsid w:val="00F0336C"/>
    <w:rsid w:val="00F05335"/>
    <w:rsid w:val="00F0605D"/>
    <w:rsid w:val="00F076F9"/>
    <w:rsid w:val="00F10F28"/>
    <w:rsid w:val="00F12CC0"/>
    <w:rsid w:val="00F12FDC"/>
    <w:rsid w:val="00F13AE0"/>
    <w:rsid w:val="00F16DA5"/>
    <w:rsid w:val="00F17A26"/>
    <w:rsid w:val="00F21A0F"/>
    <w:rsid w:val="00F22283"/>
    <w:rsid w:val="00F22483"/>
    <w:rsid w:val="00F22BB4"/>
    <w:rsid w:val="00F2429B"/>
    <w:rsid w:val="00F24549"/>
    <w:rsid w:val="00F26312"/>
    <w:rsid w:val="00F31760"/>
    <w:rsid w:val="00F32DB6"/>
    <w:rsid w:val="00F33606"/>
    <w:rsid w:val="00F339F9"/>
    <w:rsid w:val="00F34463"/>
    <w:rsid w:val="00F35E66"/>
    <w:rsid w:val="00F35EA3"/>
    <w:rsid w:val="00F40D2D"/>
    <w:rsid w:val="00F4190E"/>
    <w:rsid w:val="00F41919"/>
    <w:rsid w:val="00F44E26"/>
    <w:rsid w:val="00F46150"/>
    <w:rsid w:val="00F47E23"/>
    <w:rsid w:val="00F51906"/>
    <w:rsid w:val="00F51ED7"/>
    <w:rsid w:val="00F51FF4"/>
    <w:rsid w:val="00F530F1"/>
    <w:rsid w:val="00F54DC0"/>
    <w:rsid w:val="00F55051"/>
    <w:rsid w:val="00F555ED"/>
    <w:rsid w:val="00F55EB7"/>
    <w:rsid w:val="00F5643A"/>
    <w:rsid w:val="00F5717A"/>
    <w:rsid w:val="00F57D61"/>
    <w:rsid w:val="00F61033"/>
    <w:rsid w:val="00F61B8D"/>
    <w:rsid w:val="00F62D81"/>
    <w:rsid w:val="00F62FA2"/>
    <w:rsid w:val="00F660A2"/>
    <w:rsid w:val="00F66192"/>
    <w:rsid w:val="00F7001D"/>
    <w:rsid w:val="00F70236"/>
    <w:rsid w:val="00F71182"/>
    <w:rsid w:val="00F71F0A"/>
    <w:rsid w:val="00F72670"/>
    <w:rsid w:val="00F72EF4"/>
    <w:rsid w:val="00F74F4C"/>
    <w:rsid w:val="00F74F92"/>
    <w:rsid w:val="00F751A9"/>
    <w:rsid w:val="00F772A7"/>
    <w:rsid w:val="00F80078"/>
    <w:rsid w:val="00F81502"/>
    <w:rsid w:val="00F82B80"/>
    <w:rsid w:val="00F903FC"/>
    <w:rsid w:val="00F9072E"/>
    <w:rsid w:val="00FA44ED"/>
    <w:rsid w:val="00FA4AC1"/>
    <w:rsid w:val="00FA6B84"/>
    <w:rsid w:val="00FA6C09"/>
    <w:rsid w:val="00FB30C4"/>
    <w:rsid w:val="00FB3479"/>
    <w:rsid w:val="00FB6012"/>
    <w:rsid w:val="00FC1E4A"/>
    <w:rsid w:val="00FC434F"/>
    <w:rsid w:val="00FC5153"/>
    <w:rsid w:val="00FD1AEC"/>
    <w:rsid w:val="00FD2D86"/>
    <w:rsid w:val="00FD3712"/>
    <w:rsid w:val="00FE1FE7"/>
    <w:rsid w:val="00FE4BA0"/>
    <w:rsid w:val="00FE5A95"/>
    <w:rsid w:val="00FE6616"/>
    <w:rsid w:val="00FF02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B9A1E"/>
  <w15:docId w15:val="{60755A7C-E2CB-427C-B12B-ABFE7F14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19"/>
    <w:rPr>
      <w:rFonts w:ascii="Courier New" w:hAnsi="Courier New"/>
    </w:rPr>
  </w:style>
  <w:style w:type="paragraph" w:styleId="Naslov1">
    <w:name w:val="heading 1"/>
    <w:basedOn w:val="Normal"/>
    <w:next w:val="Normal"/>
    <w:qFormat/>
    <w:pPr>
      <w:keepNext/>
      <w:jc w:val="both"/>
      <w:outlineLvl w:val="0"/>
    </w:pPr>
    <w:rPr>
      <w:b/>
      <w:sz w:val="28"/>
    </w:rPr>
  </w:style>
  <w:style w:type="paragraph" w:styleId="Naslov2">
    <w:name w:val="heading 2"/>
    <w:basedOn w:val="Normal"/>
    <w:next w:val="Normal"/>
    <w:qFormat/>
    <w:pPr>
      <w:keepNext/>
      <w:jc w:val="both"/>
      <w:outlineLvl w:val="1"/>
    </w:pPr>
    <w:rPr>
      <w:b/>
      <w:sz w:val="24"/>
    </w:rPr>
  </w:style>
  <w:style w:type="paragraph" w:styleId="Naslov3">
    <w:name w:val="heading 3"/>
    <w:basedOn w:val="Normal"/>
    <w:next w:val="Normal"/>
    <w:qFormat/>
    <w:pPr>
      <w:keepNext/>
      <w:outlineLvl w:val="2"/>
    </w:pPr>
    <w:rPr>
      <w:b/>
      <w:sz w:val="28"/>
    </w:rPr>
  </w:style>
  <w:style w:type="paragraph" w:styleId="Naslov4">
    <w:name w:val="heading 4"/>
    <w:basedOn w:val="Normal"/>
    <w:next w:val="Normal"/>
    <w:qFormat/>
    <w:pPr>
      <w:keepNext/>
      <w:outlineLvl w:val="3"/>
    </w:pPr>
    <w:rPr>
      <w:b/>
      <w:sz w:val="28"/>
      <w:u w:val="single"/>
    </w:rPr>
  </w:style>
  <w:style w:type="paragraph" w:styleId="Naslov5">
    <w:name w:val="heading 5"/>
    <w:basedOn w:val="Normal"/>
    <w:next w:val="Normal"/>
    <w:qFormat/>
    <w:pPr>
      <w:keepNext/>
      <w:ind w:left="660"/>
      <w:outlineLvl w:val="4"/>
    </w:pPr>
    <w:rPr>
      <w:b/>
      <w:sz w:val="24"/>
    </w:rPr>
  </w:style>
  <w:style w:type="paragraph" w:styleId="Naslov6">
    <w:name w:val="heading 6"/>
    <w:basedOn w:val="Normal"/>
    <w:next w:val="Normal"/>
    <w:qFormat/>
    <w:pPr>
      <w:keepNext/>
      <w:outlineLvl w:val="5"/>
    </w:pPr>
    <w:rPr>
      <w:b/>
      <w:sz w:val="32"/>
    </w:rPr>
  </w:style>
  <w:style w:type="paragraph" w:styleId="Naslov7">
    <w:name w:val="heading 7"/>
    <w:basedOn w:val="Normal"/>
    <w:next w:val="Normal"/>
    <w:qFormat/>
    <w:pPr>
      <w:keepNext/>
      <w:outlineLvl w:val="6"/>
    </w:pPr>
    <w:rPr>
      <w:b/>
      <w:sz w:val="24"/>
    </w:rPr>
  </w:style>
  <w:style w:type="paragraph" w:styleId="Naslov8">
    <w:name w:val="heading 8"/>
    <w:basedOn w:val="Normal"/>
    <w:next w:val="Normal"/>
    <w:qFormat/>
    <w:pPr>
      <w:keepNext/>
      <w:jc w:val="right"/>
      <w:outlineLvl w:val="7"/>
    </w:pPr>
    <w:rPr>
      <w:b/>
      <w:sz w:val="24"/>
    </w:rPr>
  </w:style>
  <w:style w:type="paragraph" w:styleId="Naslov9">
    <w:name w:val="heading 9"/>
    <w:basedOn w:val="Normal"/>
    <w:next w:val="Normal"/>
    <w:qFormat/>
    <w:pPr>
      <w:keepNext/>
      <w:jc w:val="center"/>
      <w:outlineLvl w:val="8"/>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b/>
      <w:sz w:val="24"/>
    </w:rPr>
  </w:style>
  <w:style w:type="paragraph" w:styleId="Uvuenotijeloteksta">
    <w:name w:val="Body Text Indent"/>
    <w:basedOn w:val="Normal"/>
    <w:pPr>
      <w:ind w:firstLine="1134"/>
      <w:jc w:val="both"/>
    </w:pPr>
    <w:rPr>
      <w:rFonts w:ascii="Times New Roman" w:hAnsi="Times New Roman"/>
      <w:sz w:val="24"/>
    </w:rPr>
  </w:style>
  <w:style w:type="paragraph" w:styleId="Tijeloteksta2">
    <w:name w:val="Body Text 2"/>
    <w:basedOn w:val="Normal"/>
    <w:link w:val="Tijeloteksta2Char"/>
    <w:pPr>
      <w:jc w:val="both"/>
    </w:pPr>
    <w:rPr>
      <w:rFonts w:ascii="Times New Roman" w:hAnsi="Times New Roman"/>
      <w:sz w:val="24"/>
    </w:rPr>
  </w:style>
  <w:style w:type="paragraph" w:styleId="Zaglavlje">
    <w:name w:val="header"/>
    <w:basedOn w:val="Normal"/>
    <w:link w:val="ZaglavljeChar"/>
    <w:pPr>
      <w:tabs>
        <w:tab w:val="center" w:pos="4320"/>
        <w:tab w:val="right" w:pos="8640"/>
      </w:tabs>
    </w:pPr>
  </w:style>
  <w:style w:type="character" w:styleId="Brojstranice">
    <w:name w:val="page number"/>
    <w:basedOn w:val="Zadanifontodlomka"/>
  </w:style>
  <w:style w:type="paragraph" w:styleId="Podnoje">
    <w:name w:val="footer"/>
    <w:basedOn w:val="Normal"/>
    <w:pPr>
      <w:tabs>
        <w:tab w:val="center" w:pos="4320"/>
        <w:tab w:val="right" w:pos="8640"/>
      </w:tabs>
    </w:pPr>
  </w:style>
  <w:style w:type="paragraph" w:styleId="Tijeloteksta-uvlaka3">
    <w:name w:val="Body Text Indent 3"/>
    <w:basedOn w:val="Normal"/>
    <w:link w:val="Tijeloteksta-uvlaka3Char"/>
    <w:pPr>
      <w:ind w:firstLine="1134"/>
      <w:jc w:val="both"/>
    </w:pPr>
    <w:rPr>
      <w:rFonts w:ascii="Times New Roman" w:hAnsi="Times New Roman"/>
      <w:sz w:val="24"/>
      <w:lang w:val="en-AU"/>
    </w:rPr>
  </w:style>
  <w:style w:type="table" w:styleId="Reetkatablice">
    <w:name w:val="Table Grid"/>
    <w:basedOn w:val="Obinatablica"/>
    <w:rsid w:val="00C1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17337"/>
    <w:rPr>
      <w:rFonts w:ascii="Tahoma" w:hAnsi="Tahoma" w:cs="Tahoma"/>
      <w:sz w:val="16"/>
      <w:szCs w:val="16"/>
    </w:rPr>
  </w:style>
  <w:style w:type="character" w:customStyle="1" w:styleId="TekstbaloniaChar">
    <w:name w:val="Tekst balončića Char"/>
    <w:basedOn w:val="Zadanifontodlomka"/>
    <w:link w:val="Tekstbalonia"/>
    <w:uiPriority w:val="99"/>
    <w:semiHidden/>
    <w:rsid w:val="00B17337"/>
    <w:rPr>
      <w:rFonts w:ascii="Tahoma" w:hAnsi="Tahoma" w:cs="Tahoma"/>
      <w:sz w:val="16"/>
      <w:szCs w:val="16"/>
    </w:rPr>
  </w:style>
  <w:style w:type="paragraph" w:styleId="Odlomakpopisa">
    <w:name w:val="List Paragraph"/>
    <w:basedOn w:val="Normal"/>
    <w:uiPriority w:val="34"/>
    <w:qFormat/>
    <w:rsid w:val="00D72707"/>
    <w:pPr>
      <w:ind w:left="720"/>
      <w:contextualSpacing/>
    </w:pPr>
  </w:style>
  <w:style w:type="character" w:styleId="Hiperveza">
    <w:name w:val="Hyperlink"/>
    <w:basedOn w:val="Zadanifontodlomka"/>
    <w:uiPriority w:val="99"/>
    <w:semiHidden/>
    <w:unhideWhenUsed/>
    <w:rsid w:val="00A961ED"/>
    <w:rPr>
      <w:color w:val="0000FF"/>
      <w:u w:val="single"/>
    </w:rPr>
  </w:style>
  <w:style w:type="character" w:customStyle="1" w:styleId="Tijeloteksta2Char">
    <w:name w:val="Tijelo teksta 2 Char"/>
    <w:basedOn w:val="Zadanifontodlomka"/>
    <w:link w:val="Tijeloteksta2"/>
    <w:rsid w:val="00AF077A"/>
    <w:rPr>
      <w:sz w:val="24"/>
    </w:rPr>
  </w:style>
  <w:style w:type="character" w:customStyle="1" w:styleId="ZaglavljeChar">
    <w:name w:val="Zaglavlje Char"/>
    <w:basedOn w:val="Zadanifontodlomka"/>
    <w:link w:val="Zaglavlje"/>
    <w:rsid w:val="00F51FF4"/>
    <w:rPr>
      <w:rFonts w:ascii="Courier New" w:hAnsi="Courier New"/>
    </w:rPr>
  </w:style>
  <w:style w:type="character" w:customStyle="1" w:styleId="Tijeloteksta-uvlaka3Char">
    <w:name w:val="Tijelo teksta - uvlaka 3 Char"/>
    <w:basedOn w:val="Zadanifontodlomka"/>
    <w:link w:val="Tijeloteksta-uvlaka3"/>
    <w:rsid w:val="00AB1817"/>
    <w:rPr>
      <w:sz w:val="24"/>
      <w:lang w:val="en-AU"/>
    </w:rPr>
  </w:style>
  <w:style w:type="paragraph" w:customStyle="1" w:styleId="box470855">
    <w:name w:val="box_470855"/>
    <w:basedOn w:val="Normal"/>
    <w:rsid w:val="009F234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4474">
      <w:bodyDiv w:val="1"/>
      <w:marLeft w:val="0"/>
      <w:marRight w:val="0"/>
      <w:marTop w:val="0"/>
      <w:marBottom w:val="0"/>
      <w:divBdr>
        <w:top w:val="none" w:sz="0" w:space="0" w:color="auto"/>
        <w:left w:val="none" w:sz="0" w:space="0" w:color="auto"/>
        <w:bottom w:val="none" w:sz="0" w:space="0" w:color="auto"/>
        <w:right w:val="none" w:sz="0" w:space="0" w:color="auto"/>
      </w:divBdr>
    </w:div>
    <w:div w:id="240481087">
      <w:bodyDiv w:val="1"/>
      <w:marLeft w:val="0"/>
      <w:marRight w:val="0"/>
      <w:marTop w:val="0"/>
      <w:marBottom w:val="0"/>
      <w:divBdr>
        <w:top w:val="none" w:sz="0" w:space="0" w:color="auto"/>
        <w:left w:val="none" w:sz="0" w:space="0" w:color="auto"/>
        <w:bottom w:val="none" w:sz="0" w:space="0" w:color="auto"/>
        <w:right w:val="none" w:sz="0" w:space="0" w:color="auto"/>
      </w:divBdr>
    </w:div>
    <w:div w:id="281307601">
      <w:bodyDiv w:val="1"/>
      <w:marLeft w:val="0"/>
      <w:marRight w:val="0"/>
      <w:marTop w:val="0"/>
      <w:marBottom w:val="0"/>
      <w:divBdr>
        <w:top w:val="none" w:sz="0" w:space="0" w:color="auto"/>
        <w:left w:val="none" w:sz="0" w:space="0" w:color="auto"/>
        <w:bottom w:val="none" w:sz="0" w:space="0" w:color="auto"/>
        <w:right w:val="none" w:sz="0" w:space="0" w:color="auto"/>
      </w:divBdr>
    </w:div>
    <w:div w:id="328213733">
      <w:bodyDiv w:val="1"/>
      <w:marLeft w:val="0"/>
      <w:marRight w:val="0"/>
      <w:marTop w:val="0"/>
      <w:marBottom w:val="0"/>
      <w:divBdr>
        <w:top w:val="none" w:sz="0" w:space="0" w:color="auto"/>
        <w:left w:val="none" w:sz="0" w:space="0" w:color="auto"/>
        <w:bottom w:val="none" w:sz="0" w:space="0" w:color="auto"/>
        <w:right w:val="none" w:sz="0" w:space="0" w:color="auto"/>
      </w:divBdr>
    </w:div>
    <w:div w:id="371073462">
      <w:bodyDiv w:val="1"/>
      <w:marLeft w:val="0"/>
      <w:marRight w:val="0"/>
      <w:marTop w:val="0"/>
      <w:marBottom w:val="0"/>
      <w:divBdr>
        <w:top w:val="none" w:sz="0" w:space="0" w:color="auto"/>
        <w:left w:val="none" w:sz="0" w:space="0" w:color="auto"/>
        <w:bottom w:val="none" w:sz="0" w:space="0" w:color="auto"/>
        <w:right w:val="none" w:sz="0" w:space="0" w:color="auto"/>
      </w:divBdr>
    </w:div>
    <w:div w:id="442962135">
      <w:bodyDiv w:val="1"/>
      <w:marLeft w:val="0"/>
      <w:marRight w:val="0"/>
      <w:marTop w:val="0"/>
      <w:marBottom w:val="0"/>
      <w:divBdr>
        <w:top w:val="none" w:sz="0" w:space="0" w:color="auto"/>
        <w:left w:val="none" w:sz="0" w:space="0" w:color="auto"/>
        <w:bottom w:val="none" w:sz="0" w:space="0" w:color="auto"/>
        <w:right w:val="none" w:sz="0" w:space="0" w:color="auto"/>
      </w:divBdr>
    </w:div>
    <w:div w:id="505900380">
      <w:bodyDiv w:val="1"/>
      <w:marLeft w:val="0"/>
      <w:marRight w:val="0"/>
      <w:marTop w:val="0"/>
      <w:marBottom w:val="0"/>
      <w:divBdr>
        <w:top w:val="none" w:sz="0" w:space="0" w:color="auto"/>
        <w:left w:val="none" w:sz="0" w:space="0" w:color="auto"/>
        <w:bottom w:val="none" w:sz="0" w:space="0" w:color="auto"/>
        <w:right w:val="none" w:sz="0" w:space="0" w:color="auto"/>
      </w:divBdr>
    </w:div>
    <w:div w:id="537622657">
      <w:bodyDiv w:val="1"/>
      <w:marLeft w:val="0"/>
      <w:marRight w:val="0"/>
      <w:marTop w:val="0"/>
      <w:marBottom w:val="0"/>
      <w:divBdr>
        <w:top w:val="none" w:sz="0" w:space="0" w:color="auto"/>
        <w:left w:val="none" w:sz="0" w:space="0" w:color="auto"/>
        <w:bottom w:val="none" w:sz="0" w:space="0" w:color="auto"/>
        <w:right w:val="none" w:sz="0" w:space="0" w:color="auto"/>
      </w:divBdr>
    </w:div>
    <w:div w:id="651444665">
      <w:bodyDiv w:val="1"/>
      <w:marLeft w:val="0"/>
      <w:marRight w:val="0"/>
      <w:marTop w:val="0"/>
      <w:marBottom w:val="0"/>
      <w:divBdr>
        <w:top w:val="none" w:sz="0" w:space="0" w:color="auto"/>
        <w:left w:val="none" w:sz="0" w:space="0" w:color="auto"/>
        <w:bottom w:val="none" w:sz="0" w:space="0" w:color="auto"/>
        <w:right w:val="none" w:sz="0" w:space="0" w:color="auto"/>
      </w:divBdr>
    </w:div>
    <w:div w:id="665717273">
      <w:bodyDiv w:val="1"/>
      <w:marLeft w:val="0"/>
      <w:marRight w:val="0"/>
      <w:marTop w:val="0"/>
      <w:marBottom w:val="0"/>
      <w:divBdr>
        <w:top w:val="none" w:sz="0" w:space="0" w:color="auto"/>
        <w:left w:val="none" w:sz="0" w:space="0" w:color="auto"/>
        <w:bottom w:val="none" w:sz="0" w:space="0" w:color="auto"/>
        <w:right w:val="none" w:sz="0" w:space="0" w:color="auto"/>
      </w:divBdr>
    </w:div>
    <w:div w:id="747963636">
      <w:bodyDiv w:val="1"/>
      <w:marLeft w:val="0"/>
      <w:marRight w:val="0"/>
      <w:marTop w:val="0"/>
      <w:marBottom w:val="0"/>
      <w:divBdr>
        <w:top w:val="none" w:sz="0" w:space="0" w:color="auto"/>
        <w:left w:val="none" w:sz="0" w:space="0" w:color="auto"/>
        <w:bottom w:val="none" w:sz="0" w:space="0" w:color="auto"/>
        <w:right w:val="none" w:sz="0" w:space="0" w:color="auto"/>
      </w:divBdr>
    </w:div>
    <w:div w:id="815412048">
      <w:bodyDiv w:val="1"/>
      <w:marLeft w:val="0"/>
      <w:marRight w:val="0"/>
      <w:marTop w:val="0"/>
      <w:marBottom w:val="0"/>
      <w:divBdr>
        <w:top w:val="none" w:sz="0" w:space="0" w:color="auto"/>
        <w:left w:val="none" w:sz="0" w:space="0" w:color="auto"/>
        <w:bottom w:val="none" w:sz="0" w:space="0" w:color="auto"/>
        <w:right w:val="none" w:sz="0" w:space="0" w:color="auto"/>
      </w:divBdr>
    </w:div>
    <w:div w:id="825243920">
      <w:bodyDiv w:val="1"/>
      <w:marLeft w:val="0"/>
      <w:marRight w:val="0"/>
      <w:marTop w:val="0"/>
      <w:marBottom w:val="0"/>
      <w:divBdr>
        <w:top w:val="none" w:sz="0" w:space="0" w:color="auto"/>
        <w:left w:val="none" w:sz="0" w:space="0" w:color="auto"/>
        <w:bottom w:val="none" w:sz="0" w:space="0" w:color="auto"/>
        <w:right w:val="none" w:sz="0" w:space="0" w:color="auto"/>
      </w:divBdr>
    </w:div>
    <w:div w:id="874388564">
      <w:bodyDiv w:val="1"/>
      <w:marLeft w:val="0"/>
      <w:marRight w:val="0"/>
      <w:marTop w:val="0"/>
      <w:marBottom w:val="0"/>
      <w:divBdr>
        <w:top w:val="none" w:sz="0" w:space="0" w:color="auto"/>
        <w:left w:val="none" w:sz="0" w:space="0" w:color="auto"/>
        <w:bottom w:val="none" w:sz="0" w:space="0" w:color="auto"/>
        <w:right w:val="none" w:sz="0" w:space="0" w:color="auto"/>
      </w:divBdr>
    </w:div>
    <w:div w:id="897008344">
      <w:bodyDiv w:val="1"/>
      <w:marLeft w:val="0"/>
      <w:marRight w:val="0"/>
      <w:marTop w:val="0"/>
      <w:marBottom w:val="0"/>
      <w:divBdr>
        <w:top w:val="none" w:sz="0" w:space="0" w:color="auto"/>
        <w:left w:val="none" w:sz="0" w:space="0" w:color="auto"/>
        <w:bottom w:val="none" w:sz="0" w:space="0" w:color="auto"/>
        <w:right w:val="none" w:sz="0" w:space="0" w:color="auto"/>
      </w:divBdr>
    </w:div>
    <w:div w:id="992486012">
      <w:bodyDiv w:val="1"/>
      <w:marLeft w:val="0"/>
      <w:marRight w:val="0"/>
      <w:marTop w:val="0"/>
      <w:marBottom w:val="0"/>
      <w:divBdr>
        <w:top w:val="none" w:sz="0" w:space="0" w:color="auto"/>
        <w:left w:val="none" w:sz="0" w:space="0" w:color="auto"/>
        <w:bottom w:val="none" w:sz="0" w:space="0" w:color="auto"/>
        <w:right w:val="none" w:sz="0" w:space="0" w:color="auto"/>
      </w:divBdr>
    </w:div>
    <w:div w:id="1013805443">
      <w:bodyDiv w:val="1"/>
      <w:marLeft w:val="0"/>
      <w:marRight w:val="0"/>
      <w:marTop w:val="0"/>
      <w:marBottom w:val="0"/>
      <w:divBdr>
        <w:top w:val="none" w:sz="0" w:space="0" w:color="auto"/>
        <w:left w:val="none" w:sz="0" w:space="0" w:color="auto"/>
        <w:bottom w:val="none" w:sz="0" w:space="0" w:color="auto"/>
        <w:right w:val="none" w:sz="0" w:space="0" w:color="auto"/>
      </w:divBdr>
    </w:div>
    <w:div w:id="1056657700">
      <w:bodyDiv w:val="1"/>
      <w:marLeft w:val="0"/>
      <w:marRight w:val="0"/>
      <w:marTop w:val="0"/>
      <w:marBottom w:val="0"/>
      <w:divBdr>
        <w:top w:val="none" w:sz="0" w:space="0" w:color="auto"/>
        <w:left w:val="none" w:sz="0" w:space="0" w:color="auto"/>
        <w:bottom w:val="none" w:sz="0" w:space="0" w:color="auto"/>
        <w:right w:val="none" w:sz="0" w:space="0" w:color="auto"/>
      </w:divBdr>
    </w:div>
    <w:div w:id="1124688246">
      <w:bodyDiv w:val="1"/>
      <w:marLeft w:val="0"/>
      <w:marRight w:val="0"/>
      <w:marTop w:val="0"/>
      <w:marBottom w:val="0"/>
      <w:divBdr>
        <w:top w:val="none" w:sz="0" w:space="0" w:color="auto"/>
        <w:left w:val="none" w:sz="0" w:space="0" w:color="auto"/>
        <w:bottom w:val="none" w:sz="0" w:space="0" w:color="auto"/>
        <w:right w:val="none" w:sz="0" w:space="0" w:color="auto"/>
      </w:divBdr>
    </w:div>
    <w:div w:id="1391228216">
      <w:bodyDiv w:val="1"/>
      <w:marLeft w:val="0"/>
      <w:marRight w:val="0"/>
      <w:marTop w:val="0"/>
      <w:marBottom w:val="0"/>
      <w:divBdr>
        <w:top w:val="none" w:sz="0" w:space="0" w:color="auto"/>
        <w:left w:val="none" w:sz="0" w:space="0" w:color="auto"/>
        <w:bottom w:val="none" w:sz="0" w:space="0" w:color="auto"/>
        <w:right w:val="none" w:sz="0" w:space="0" w:color="auto"/>
      </w:divBdr>
    </w:div>
    <w:div w:id="1396204917">
      <w:bodyDiv w:val="1"/>
      <w:marLeft w:val="0"/>
      <w:marRight w:val="0"/>
      <w:marTop w:val="0"/>
      <w:marBottom w:val="0"/>
      <w:divBdr>
        <w:top w:val="none" w:sz="0" w:space="0" w:color="auto"/>
        <w:left w:val="none" w:sz="0" w:space="0" w:color="auto"/>
        <w:bottom w:val="none" w:sz="0" w:space="0" w:color="auto"/>
        <w:right w:val="none" w:sz="0" w:space="0" w:color="auto"/>
      </w:divBdr>
    </w:div>
    <w:div w:id="1407921010">
      <w:bodyDiv w:val="1"/>
      <w:marLeft w:val="0"/>
      <w:marRight w:val="0"/>
      <w:marTop w:val="0"/>
      <w:marBottom w:val="0"/>
      <w:divBdr>
        <w:top w:val="none" w:sz="0" w:space="0" w:color="auto"/>
        <w:left w:val="none" w:sz="0" w:space="0" w:color="auto"/>
        <w:bottom w:val="none" w:sz="0" w:space="0" w:color="auto"/>
        <w:right w:val="none" w:sz="0" w:space="0" w:color="auto"/>
      </w:divBdr>
    </w:div>
    <w:div w:id="1500391826">
      <w:bodyDiv w:val="1"/>
      <w:marLeft w:val="0"/>
      <w:marRight w:val="0"/>
      <w:marTop w:val="0"/>
      <w:marBottom w:val="0"/>
      <w:divBdr>
        <w:top w:val="none" w:sz="0" w:space="0" w:color="auto"/>
        <w:left w:val="none" w:sz="0" w:space="0" w:color="auto"/>
        <w:bottom w:val="none" w:sz="0" w:space="0" w:color="auto"/>
        <w:right w:val="none" w:sz="0" w:space="0" w:color="auto"/>
      </w:divBdr>
    </w:div>
    <w:div w:id="1547336040">
      <w:bodyDiv w:val="1"/>
      <w:marLeft w:val="0"/>
      <w:marRight w:val="0"/>
      <w:marTop w:val="0"/>
      <w:marBottom w:val="0"/>
      <w:divBdr>
        <w:top w:val="none" w:sz="0" w:space="0" w:color="auto"/>
        <w:left w:val="none" w:sz="0" w:space="0" w:color="auto"/>
        <w:bottom w:val="none" w:sz="0" w:space="0" w:color="auto"/>
        <w:right w:val="none" w:sz="0" w:space="0" w:color="auto"/>
      </w:divBdr>
    </w:div>
    <w:div w:id="1612980480">
      <w:bodyDiv w:val="1"/>
      <w:marLeft w:val="0"/>
      <w:marRight w:val="0"/>
      <w:marTop w:val="0"/>
      <w:marBottom w:val="0"/>
      <w:divBdr>
        <w:top w:val="none" w:sz="0" w:space="0" w:color="auto"/>
        <w:left w:val="none" w:sz="0" w:space="0" w:color="auto"/>
        <w:bottom w:val="none" w:sz="0" w:space="0" w:color="auto"/>
        <w:right w:val="none" w:sz="0" w:space="0" w:color="auto"/>
      </w:divBdr>
    </w:div>
    <w:div w:id="1615597799">
      <w:bodyDiv w:val="1"/>
      <w:marLeft w:val="0"/>
      <w:marRight w:val="0"/>
      <w:marTop w:val="0"/>
      <w:marBottom w:val="0"/>
      <w:divBdr>
        <w:top w:val="none" w:sz="0" w:space="0" w:color="auto"/>
        <w:left w:val="none" w:sz="0" w:space="0" w:color="auto"/>
        <w:bottom w:val="none" w:sz="0" w:space="0" w:color="auto"/>
        <w:right w:val="none" w:sz="0" w:space="0" w:color="auto"/>
      </w:divBdr>
    </w:div>
    <w:div w:id="1622566052">
      <w:bodyDiv w:val="1"/>
      <w:marLeft w:val="0"/>
      <w:marRight w:val="0"/>
      <w:marTop w:val="0"/>
      <w:marBottom w:val="0"/>
      <w:divBdr>
        <w:top w:val="none" w:sz="0" w:space="0" w:color="auto"/>
        <w:left w:val="none" w:sz="0" w:space="0" w:color="auto"/>
        <w:bottom w:val="none" w:sz="0" w:space="0" w:color="auto"/>
        <w:right w:val="none" w:sz="0" w:space="0" w:color="auto"/>
      </w:divBdr>
    </w:div>
    <w:div w:id="1624268791">
      <w:bodyDiv w:val="1"/>
      <w:marLeft w:val="0"/>
      <w:marRight w:val="0"/>
      <w:marTop w:val="0"/>
      <w:marBottom w:val="0"/>
      <w:divBdr>
        <w:top w:val="none" w:sz="0" w:space="0" w:color="auto"/>
        <w:left w:val="none" w:sz="0" w:space="0" w:color="auto"/>
        <w:bottom w:val="none" w:sz="0" w:space="0" w:color="auto"/>
        <w:right w:val="none" w:sz="0" w:space="0" w:color="auto"/>
      </w:divBdr>
    </w:div>
    <w:div w:id="1682275720">
      <w:bodyDiv w:val="1"/>
      <w:marLeft w:val="0"/>
      <w:marRight w:val="0"/>
      <w:marTop w:val="0"/>
      <w:marBottom w:val="0"/>
      <w:divBdr>
        <w:top w:val="none" w:sz="0" w:space="0" w:color="auto"/>
        <w:left w:val="none" w:sz="0" w:space="0" w:color="auto"/>
        <w:bottom w:val="none" w:sz="0" w:space="0" w:color="auto"/>
        <w:right w:val="none" w:sz="0" w:space="0" w:color="auto"/>
      </w:divBdr>
    </w:div>
    <w:div w:id="1738046201">
      <w:bodyDiv w:val="1"/>
      <w:marLeft w:val="0"/>
      <w:marRight w:val="0"/>
      <w:marTop w:val="0"/>
      <w:marBottom w:val="0"/>
      <w:divBdr>
        <w:top w:val="none" w:sz="0" w:space="0" w:color="auto"/>
        <w:left w:val="none" w:sz="0" w:space="0" w:color="auto"/>
        <w:bottom w:val="none" w:sz="0" w:space="0" w:color="auto"/>
        <w:right w:val="none" w:sz="0" w:space="0" w:color="auto"/>
      </w:divBdr>
    </w:div>
    <w:div w:id="1740320538">
      <w:bodyDiv w:val="1"/>
      <w:marLeft w:val="0"/>
      <w:marRight w:val="0"/>
      <w:marTop w:val="0"/>
      <w:marBottom w:val="0"/>
      <w:divBdr>
        <w:top w:val="none" w:sz="0" w:space="0" w:color="auto"/>
        <w:left w:val="none" w:sz="0" w:space="0" w:color="auto"/>
        <w:bottom w:val="none" w:sz="0" w:space="0" w:color="auto"/>
        <w:right w:val="none" w:sz="0" w:space="0" w:color="auto"/>
      </w:divBdr>
    </w:div>
    <w:div w:id="1744714671">
      <w:bodyDiv w:val="1"/>
      <w:marLeft w:val="0"/>
      <w:marRight w:val="0"/>
      <w:marTop w:val="0"/>
      <w:marBottom w:val="0"/>
      <w:divBdr>
        <w:top w:val="none" w:sz="0" w:space="0" w:color="auto"/>
        <w:left w:val="none" w:sz="0" w:space="0" w:color="auto"/>
        <w:bottom w:val="none" w:sz="0" w:space="0" w:color="auto"/>
        <w:right w:val="none" w:sz="0" w:space="0" w:color="auto"/>
      </w:divBdr>
    </w:div>
    <w:div w:id="1751657486">
      <w:bodyDiv w:val="1"/>
      <w:marLeft w:val="0"/>
      <w:marRight w:val="0"/>
      <w:marTop w:val="0"/>
      <w:marBottom w:val="0"/>
      <w:divBdr>
        <w:top w:val="none" w:sz="0" w:space="0" w:color="auto"/>
        <w:left w:val="none" w:sz="0" w:space="0" w:color="auto"/>
        <w:bottom w:val="none" w:sz="0" w:space="0" w:color="auto"/>
        <w:right w:val="none" w:sz="0" w:space="0" w:color="auto"/>
      </w:divBdr>
    </w:div>
    <w:div w:id="1811971564">
      <w:bodyDiv w:val="1"/>
      <w:marLeft w:val="0"/>
      <w:marRight w:val="0"/>
      <w:marTop w:val="0"/>
      <w:marBottom w:val="0"/>
      <w:divBdr>
        <w:top w:val="none" w:sz="0" w:space="0" w:color="auto"/>
        <w:left w:val="none" w:sz="0" w:space="0" w:color="auto"/>
        <w:bottom w:val="none" w:sz="0" w:space="0" w:color="auto"/>
        <w:right w:val="none" w:sz="0" w:space="0" w:color="auto"/>
      </w:divBdr>
    </w:div>
    <w:div w:id="1829900757">
      <w:bodyDiv w:val="1"/>
      <w:marLeft w:val="0"/>
      <w:marRight w:val="0"/>
      <w:marTop w:val="0"/>
      <w:marBottom w:val="0"/>
      <w:divBdr>
        <w:top w:val="none" w:sz="0" w:space="0" w:color="auto"/>
        <w:left w:val="none" w:sz="0" w:space="0" w:color="auto"/>
        <w:bottom w:val="none" w:sz="0" w:space="0" w:color="auto"/>
        <w:right w:val="none" w:sz="0" w:space="0" w:color="auto"/>
      </w:divBdr>
    </w:div>
    <w:div w:id="1845628817">
      <w:bodyDiv w:val="1"/>
      <w:marLeft w:val="0"/>
      <w:marRight w:val="0"/>
      <w:marTop w:val="0"/>
      <w:marBottom w:val="0"/>
      <w:divBdr>
        <w:top w:val="none" w:sz="0" w:space="0" w:color="auto"/>
        <w:left w:val="none" w:sz="0" w:space="0" w:color="auto"/>
        <w:bottom w:val="none" w:sz="0" w:space="0" w:color="auto"/>
        <w:right w:val="none" w:sz="0" w:space="0" w:color="auto"/>
      </w:divBdr>
    </w:div>
    <w:div w:id="1910068830">
      <w:bodyDiv w:val="1"/>
      <w:marLeft w:val="0"/>
      <w:marRight w:val="0"/>
      <w:marTop w:val="0"/>
      <w:marBottom w:val="0"/>
      <w:divBdr>
        <w:top w:val="none" w:sz="0" w:space="0" w:color="auto"/>
        <w:left w:val="none" w:sz="0" w:space="0" w:color="auto"/>
        <w:bottom w:val="none" w:sz="0" w:space="0" w:color="auto"/>
        <w:right w:val="none" w:sz="0" w:space="0" w:color="auto"/>
      </w:divBdr>
    </w:div>
    <w:div w:id="1982153934">
      <w:bodyDiv w:val="1"/>
      <w:marLeft w:val="0"/>
      <w:marRight w:val="0"/>
      <w:marTop w:val="0"/>
      <w:marBottom w:val="0"/>
      <w:divBdr>
        <w:top w:val="none" w:sz="0" w:space="0" w:color="auto"/>
        <w:left w:val="none" w:sz="0" w:space="0" w:color="auto"/>
        <w:bottom w:val="none" w:sz="0" w:space="0" w:color="auto"/>
        <w:right w:val="none" w:sz="0" w:space="0" w:color="auto"/>
      </w:divBdr>
    </w:div>
    <w:div w:id="2101683789">
      <w:bodyDiv w:val="1"/>
      <w:marLeft w:val="0"/>
      <w:marRight w:val="0"/>
      <w:marTop w:val="0"/>
      <w:marBottom w:val="0"/>
      <w:divBdr>
        <w:top w:val="none" w:sz="0" w:space="0" w:color="auto"/>
        <w:left w:val="none" w:sz="0" w:space="0" w:color="auto"/>
        <w:bottom w:val="none" w:sz="0" w:space="0" w:color="auto"/>
        <w:right w:val="none" w:sz="0" w:space="0" w:color="auto"/>
      </w:divBdr>
    </w:div>
    <w:div w:id="2107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B8FBA-CDA0-4175-9B74-6AF7DD4B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7425</Words>
  <Characters>42325</Characters>
  <Application>Microsoft Office Word</Application>
  <DocSecurity>0</DocSecurity>
  <Lines>352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IZVJEŠTAJI</vt:lpstr>
      <vt:lpstr>ŽUPANIJA PRIMORSKO-GORANSKA</vt:lpstr>
    </vt:vector>
  </TitlesOfParts>
  <Company>GRAD BAKAR</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IZVJEŠTAJI</dc:title>
  <dc:creator>Iva Marohnić</dc:creator>
  <cp:lastModifiedBy>Branka Šišul</cp:lastModifiedBy>
  <cp:revision>2</cp:revision>
  <cp:lastPrinted>2021-02-12T10:00:00Z</cp:lastPrinted>
  <dcterms:created xsi:type="dcterms:W3CDTF">2024-02-14T11:33:00Z</dcterms:created>
  <dcterms:modified xsi:type="dcterms:W3CDTF">2024-02-14T11:33:00Z</dcterms:modified>
</cp:coreProperties>
</file>