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B6BC" w14:textId="77777777" w:rsidR="006202F0" w:rsidRPr="00DD01B2" w:rsidRDefault="006202F0" w:rsidP="006202F0">
      <w:pPr>
        <w:jc w:val="center"/>
        <w:rPr>
          <w:rFonts w:ascii="Aptos" w:hAnsi="Aptos" w:cstheme="minorHAnsi"/>
          <w:b/>
          <w:bCs/>
          <w:color w:val="003366"/>
          <w:sz w:val="21"/>
          <w:szCs w:val="21"/>
        </w:rPr>
      </w:pPr>
      <w:r w:rsidRPr="00DD01B2">
        <w:rPr>
          <w:rFonts w:ascii="Aptos" w:hAnsi="Aptos" w:cstheme="minorHAnsi"/>
          <w:b/>
          <w:bCs/>
          <w:color w:val="003366"/>
          <w:sz w:val="21"/>
          <w:szCs w:val="21"/>
        </w:rPr>
        <w:t>Bilješke uz financijske izvještaje</w:t>
      </w:r>
    </w:p>
    <w:p w14:paraId="131727BC" w14:textId="6DE39700" w:rsidR="006202F0" w:rsidRPr="00DD01B2" w:rsidRDefault="006202F0" w:rsidP="006202F0">
      <w:pPr>
        <w:jc w:val="center"/>
        <w:rPr>
          <w:rFonts w:ascii="Aptos" w:hAnsi="Aptos" w:cstheme="minorHAnsi"/>
          <w:b/>
          <w:bCs/>
          <w:color w:val="003366"/>
          <w:sz w:val="21"/>
          <w:szCs w:val="21"/>
        </w:rPr>
      </w:pPr>
      <w:r w:rsidRPr="00DD01B2">
        <w:rPr>
          <w:rFonts w:ascii="Aptos" w:hAnsi="Aptos" w:cstheme="minorHAnsi"/>
          <w:b/>
          <w:bCs/>
          <w:color w:val="003366"/>
          <w:sz w:val="21"/>
          <w:szCs w:val="21"/>
        </w:rPr>
        <w:t>za razdoblje od 01. siječnja 202</w:t>
      </w:r>
      <w:r w:rsidR="008C15FB" w:rsidRPr="00DD01B2">
        <w:rPr>
          <w:rFonts w:ascii="Aptos" w:hAnsi="Aptos" w:cstheme="minorHAnsi"/>
          <w:b/>
          <w:bCs/>
          <w:color w:val="003366"/>
          <w:sz w:val="21"/>
          <w:szCs w:val="21"/>
        </w:rPr>
        <w:t>5</w:t>
      </w:r>
      <w:r w:rsidRPr="00DD01B2">
        <w:rPr>
          <w:rFonts w:ascii="Aptos" w:hAnsi="Aptos" w:cstheme="minorHAnsi"/>
          <w:b/>
          <w:bCs/>
          <w:color w:val="003366"/>
          <w:sz w:val="21"/>
          <w:szCs w:val="21"/>
        </w:rPr>
        <w:t>. do 31. prosinca 202</w:t>
      </w:r>
      <w:r w:rsidR="008C15FB" w:rsidRPr="00DD01B2">
        <w:rPr>
          <w:rFonts w:ascii="Aptos" w:hAnsi="Aptos" w:cstheme="minorHAnsi"/>
          <w:b/>
          <w:bCs/>
          <w:color w:val="003366"/>
          <w:sz w:val="21"/>
          <w:szCs w:val="21"/>
        </w:rPr>
        <w:t>5</w:t>
      </w:r>
      <w:r w:rsidRPr="00DD01B2">
        <w:rPr>
          <w:rFonts w:ascii="Aptos" w:hAnsi="Aptos" w:cstheme="minorHAnsi"/>
          <w:b/>
          <w:bCs/>
          <w:color w:val="003366"/>
          <w:sz w:val="21"/>
          <w:szCs w:val="21"/>
        </w:rPr>
        <w:t>.</w:t>
      </w:r>
    </w:p>
    <w:p w14:paraId="7A5C1E2D" w14:textId="77777777" w:rsidR="006202F0" w:rsidRPr="00DD01B2" w:rsidRDefault="006202F0" w:rsidP="006202F0">
      <w:pPr>
        <w:rPr>
          <w:rFonts w:ascii="Aptos" w:hAnsi="Aptos" w:cstheme="minorHAnsi"/>
          <w:sz w:val="21"/>
          <w:szCs w:val="21"/>
        </w:rPr>
      </w:pPr>
    </w:p>
    <w:tbl>
      <w:tblPr>
        <w:tblW w:w="9639" w:type="dxa"/>
        <w:tblInd w:w="-459" w:type="dxa"/>
        <w:tblLayout w:type="fixed"/>
        <w:tblLook w:val="04A0" w:firstRow="1" w:lastRow="0" w:firstColumn="1" w:lastColumn="0" w:noHBand="0" w:noVBand="1"/>
      </w:tblPr>
      <w:tblGrid>
        <w:gridCol w:w="1701"/>
        <w:gridCol w:w="945"/>
        <w:gridCol w:w="615"/>
        <w:gridCol w:w="1360"/>
        <w:gridCol w:w="57"/>
        <w:gridCol w:w="704"/>
        <w:gridCol w:w="1139"/>
        <w:gridCol w:w="850"/>
        <w:gridCol w:w="236"/>
        <w:gridCol w:w="283"/>
        <w:gridCol w:w="284"/>
        <w:gridCol w:w="635"/>
        <w:gridCol w:w="830"/>
      </w:tblGrid>
      <w:tr w:rsidR="006202F0" w:rsidRPr="00DD01B2" w14:paraId="4D7F53D1" w14:textId="77777777" w:rsidTr="005E2B22">
        <w:trPr>
          <w:trHeight w:val="300"/>
        </w:trPr>
        <w:tc>
          <w:tcPr>
            <w:tcW w:w="1701" w:type="dxa"/>
            <w:tcBorders>
              <w:top w:val="nil"/>
              <w:left w:val="nil"/>
              <w:bottom w:val="nil"/>
              <w:right w:val="nil"/>
            </w:tcBorders>
            <w:noWrap/>
            <w:vAlign w:val="center"/>
            <w:hideMark/>
          </w:tcPr>
          <w:p w14:paraId="3AFE9E1B"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Broj RKP-a:</w:t>
            </w:r>
          </w:p>
        </w:tc>
        <w:tc>
          <w:tcPr>
            <w:tcW w:w="1560"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55045217" w14:textId="77777777" w:rsidR="006202F0" w:rsidRPr="00DD01B2" w:rsidRDefault="006202F0" w:rsidP="005E2B22">
            <w:pPr>
              <w:rPr>
                <w:rFonts w:ascii="Aptos" w:hAnsi="Aptos" w:cstheme="minorHAnsi"/>
                <w:sz w:val="21"/>
                <w:szCs w:val="21"/>
              </w:rPr>
            </w:pPr>
            <w:r w:rsidRPr="00DD01B2">
              <w:rPr>
                <w:rFonts w:ascii="Aptos" w:hAnsi="Aptos" w:cstheme="minorHAnsi"/>
                <w:b/>
                <w:bCs/>
                <w:color w:val="800000"/>
                <w:sz w:val="21"/>
                <w:szCs w:val="21"/>
              </w:rPr>
              <w:t> 30074</w:t>
            </w:r>
          </w:p>
        </w:tc>
        <w:tc>
          <w:tcPr>
            <w:tcW w:w="2121" w:type="dxa"/>
            <w:gridSpan w:val="3"/>
            <w:tcBorders>
              <w:top w:val="nil"/>
              <w:left w:val="nil"/>
              <w:bottom w:val="nil"/>
              <w:right w:val="single" w:sz="4" w:space="0" w:color="000000"/>
            </w:tcBorders>
            <w:noWrap/>
            <w:vAlign w:val="center"/>
            <w:hideMark/>
          </w:tcPr>
          <w:p w14:paraId="21CE25DB"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Oznaka razdoblja:</w:t>
            </w:r>
          </w:p>
        </w:tc>
        <w:tc>
          <w:tcPr>
            <w:tcW w:w="1139" w:type="dxa"/>
            <w:tcBorders>
              <w:top w:val="nil"/>
              <w:left w:val="nil"/>
              <w:bottom w:val="single" w:sz="4" w:space="0" w:color="auto"/>
              <w:right w:val="single" w:sz="4" w:space="0" w:color="auto"/>
            </w:tcBorders>
            <w:shd w:val="pct25" w:color="C0C0C0" w:fill="auto"/>
            <w:noWrap/>
            <w:vAlign w:val="center"/>
            <w:hideMark/>
          </w:tcPr>
          <w:p w14:paraId="7C8F12CE" w14:textId="5239BFD0" w:rsidR="006202F0" w:rsidRPr="00DD01B2" w:rsidRDefault="006202F0" w:rsidP="005E2B22">
            <w:pPr>
              <w:jc w:val="center"/>
              <w:rPr>
                <w:rFonts w:ascii="Aptos" w:hAnsi="Aptos" w:cstheme="minorHAnsi"/>
                <w:b/>
                <w:bCs/>
                <w:color w:val="800000"/>
                <w:sz w:val="21"/>
                <w:szCs w:val="21"/>
              </w:rPr>
            </w:pPr>
            <w:r w:rsidRPr="00DD01B2">
              <w:rPr>
                <w:rFonts w:ascii="Aptos" w:hAnsi="Aptos" w:cstheme="minorHAnsi"/>
                <w:b/>
                <w:bCs/>
                <w:color w:val="800000"/>
                <w:sz w:val="21"/>
                <w:szCs w:val="21"/>
              </w:rPr>
              <w:t>202</w:t>
            </w:r>
            <w:r w:rsidR="008C15FB" w:rsidRPr="00DD01B2">
              <w:rPr>
                <w:rFonts w:ascii="Aptos" w:hAnsi="Aptos" w:cstheme="minorHAnsi"/>
                <w:b/>
                <w:bCs/>
                <w:color w:val="800000"/>
                <w:sz w:val="21"/>
                <w:szCs w:val="21"/>
              </w:rPr>
              <w:t>5</w:t>
            </w:r>
            <w:r w:rsidRPr="00DD01B2">
              <w:rPr>
                <w:rFonts w:ascii="Aptos" w:hAnsi="Aptos" w:cstheme="minorHAnsi"/>
                <w:b/>
                <w:bCs/>
                <w:color w:val="800000"/>
                <w:sz w:val="21"/>
                <w:szCs w:val="21"/>
              </w:rPr>
              <w:t>-12</w:t>
            </w:r>
          </w:p>
        </w:tc>
        <w:tc>
          <w:tcPr>
            <w:tcW w:w="850" w:type="dxa"/>
            <w:tcBorders>
              <w:top w:val="nil"/>
              <w:left w:val="nil"/>
              <w:bottom w:val="nil"/>
              <w:right w:val="nil"/>
            </w:tcBorders>
            <w:noWrap/>
            <w:vAlign w:val="center"/>
            <w:hideMark/>
          </w:tcPr>
          <w:p w14:paraId="17D15748"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550E351B"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1D181F62" w14:textId="77777777" w:rsidR="006202F0" w:rsidRPr="00DD01B2" w:rsidRDefault="006202F0" w:rsidP="005E2B22">
            <w:pPr>
              <w:rPr>
                <w:rFonts w:ascii="Aptos" w:hAnsi="Aptos" w:cstheme="minorHAnsi"/>
                <w:sz w:val="21"/>
                <w:szCs w:val="21"/>
              </w:rPr>
            </w:pPr>
          </w:p>
        </w:tc>
        <w:tc>
          <w:tcPr>
            <w:tcW w:w="1749" w:type="dxa"/>
            <w:gridSpan w:val="3"/>
            <w:tcBorders>
              <w:top w:val="nil"/>
              <w:left w:val="nil"/>
              <w:bottom w:val="nil"/>
              <w:right w:val="nil"/>
            </w:tcBorders>
            <w:noWrap/>
            <w:vAlign w:val="center"/>
          </w:tcPr>
          <w:p w14:paraId="4178AC85" w14:textId="77777777" w:rsidR="006202F0" w:rsidRPr="00DD01B2" w:rsidRDefault="006202F0" w:rsidP="005E2B22">
            <w:pPr>
              <w:rPr>
                <w:rFonts w:ascii="Aptos" w:hAnsi="Aptos" w:cstheme="minorHAnsi"/>
                <w:sz w:val="21"/>
                <w:szCs w:val="21"/>
              </w:rPr>
            </w:pPr>
          </w:p>
        </w:tc>
      </w:tr>
      <w:tr w:rsidR="006202F0" w:rsidRPr="00DD01B2" w14:paraId="44DFD6F6" w14:textId="77777777" w:rsidTr="005E2B22">
        <w:trPr>
          <w:trHeight w:val="60"/>
        </w:trPr>
        <w:tc>
          <w:tcPr>
            <w:tcW w:w="1701" w:type="dxa"/>
            <w:tcBorders>
              <w:top w:val="nil"/>
              <w:left w:val="nil"/>
              <w:bottom w:val="nil"/>
              <w:right w:val="nil"/>
            </w:tcBorders>
            <w:noWrap/>
            <w:vAlign w:val="center"/>
            <w:hideMark/>
          </w:tcPr>
          <w:p w14:paraId="28BF492D" w14:textId="77777777" w:rsidR="006202F0" w:rsidRPr="00DD01B2" w:rsidRDefault="006202F0" w:rsidP="005E2B22">
            <w:pPr>
              <w:rPr>
                <w:rFonts w:ascii="Aptos" w:hAnsi="Aptos" w:cstheme="minorHAnsi"/>
                <w:sz w:val="21"/>
                <w:szCs w:val="21"/>
              </w:rPr>
            </w:pPr>
          </w:p>
        </w:tc>
        <w:tc>
          <w:tcPr>
            <w:tcW w:w="945" w:type="dxa"/>
            <w:tcBorders>
              <w:top w:val="nil"/>
              <w:left w:val="nil"/>
              <w:bottom w:val="nil"/>
              <w:right w:val="nil"/>
            </w:tcBorders>
            <w:noWrap/>
            <w:vAlign w:val="center"/>
            <w:hideMark/>
          </w:tcPr>
          <w:p w14:paraId="4D670B6E" w14:textId="77777777" w:rsidR="006202F0" w:rsidRPr="00DD01B2" w:rsidRDefault="006202F0" w:rsidP="005E2B22">
            <w:pPr>
              <w:rPr>
                <w:rFonts w:ascii="Aptos" w:hAnsi="Aptos" w:cstheme="minorHAnsi"/>
                <w:sz w:val="21"/>
                <w:szCs w:val="21"/>
              </w:rPr>
            </w:pPr>
          </w:p>
        </w:tc>
        <w:tc>
          <w:tcPr>
            <w:tcW w:w="615" w:type="dxa"/>
            <w:tcBorders>
              <w:top w:val="nil"/>
              <w:left w:val="nil"/>
              <w:bottom w:val="nil"/>
              <w:right w:val="nil"/>
            </w:tcBorders>
            <w:noWrap/>
            <w:vAlign w:val="center"/>
            <w:hideMark/>
          </w:tcPr>
          <w:p w14:paraId="052E4AC3" w14:textId="77777777" w:rsidR="006202F0" w:rsidRPr="00DD01B2" w:rsidRDefault="006202F0" w:rsidP="005E2B22">
            <w:pPr>
              <w:rPr>
                <w:rFonts w:ascii="Aptos" w:hAnsi="Aptos" w:cstheme="minorHAnsi"/>
                <w:sz w:val="21"/>
                <w:szCs w:val="21"/>
              </w:rPr>
            </w:pPr>
          </w:p>
        </w:tc>
        <w:tc>
          <w:tcPr>
            <w:tcW w:w="1360" w:type="dxa"/>
            <w:tcBorders>
              <w:top w:val="nil"/>
              <w:left w:val="nil"/>
              <w:bottom w:val="nil"/>
              <w:right w:val="nil"/>
            </w:tcBorders>
            <w:noWrap/>
            <w:vAlign w:val="center"/>
            <w:hideMark/>
          </w:tcPr>
          <w:p w14:paraId="5BF6DF79" w14:textId="77777777" w:rsidR="006202F0" w:rsidRPr="00DD01B2" w:rsidRDefault="006202F0" w:rsidP="005E2B22">
            <w:pPr>
              <w:rPr>
                <w:rFonts w:ascii="Aptos" w:hAnsi="Aptos" w:cstheme="minorHAnsi"/>
                <w:sz w:val="21"/>
                <w:szCs w:val="21"/>
              </w:rPr>
            </w:pPr>
          </w:p>
        </w:tc>
        <w:tc>
          <w:tcPr>
            <w:tcW w:w="761" w:type="dxa"/>
            <w:gridSpan w:val="2"/>
            <w:tcBorders>
              <w:top w:val="nil"/>
              <w:left w:val="nil"/>
              <w:bottom w:val="nil"/>
              <w:right w:val="nil"/>
            </w:tcBorders>
            <w:noWrap/>
            <w:vAlign w:val="center"/>
            <w:hideMark/>
          </w:tcPr>
          <w:p w14:paraId="28E80D7C" w14:textId="77777777" w:rsidR="006202F0" w:rsidRPr="00DD01B2" w:rsidRDefault="006202F0" w:rsidP="005E2B22">
            <w:pPr>
              <w:rPr>
                <w:rFonts w:ascii="Aptos" w:hAnsi="Aptos" w:cstheme="minorHAnsi"/>
                <w:sz w:val="21"/>
                <w:szCs w:val="21"/>
              </w:rPr>
            </w:pPr>
          </w:p>
        </w:tc>
        <w:tc>
          <w:tcPr>
            <w:tcW w:w="1139" w:type="dxa"/>
            <w:tcBorders>
              <w:top w:val="nil"/>
              <w:left w:val="nil"/>
              <w:bottom w:val="nil"/>
              <w:right w:val="nil"/>
            </w:tcBorders>
            <w:noWrap/>
            <w:vAlign w:val="center"/>
            <w:hideMark/>
          </w:tcPr>
          <w:p w14:paraId="695A106E" w14:textId="77777777" w:rsidR="006202F0" w:rsidRPr="00DD01B2" w:rsidRDefault="006202F0" w:rsidP="005E2B22">
            <w:pPr>
              <w:rPr>
                <w:rFonts w:ascii="Aptos" w:hAnsi="Aptos" w:cstheme="minorHAnsi"/>
                <w:sz w:val="21"/>
                <w:szCs w:val="21"/>
              </w:rPr>
            </w:pPr>
          </w:p>
        </w:tc>
        <w:tc>
          <w:tcPr>
            <w:tcW w:w="850" w:type="dxa"/>
            <w:tcBorders>
              <w:top w:val="nil"/>
              <w:left w:val="nil"/>
              <w:bottom w:val="nil"/>
              <w:right w:val="nil"/>
            </w:tcBorders>
            <w:noWrap/>
            <w:vAlign w:val="center"/>
            <w:hideMark/>
          </w:tcPr>
          <w:p w14:paraId="3F35499E"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7A55FD53"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4FE44B91" w14:textId="77777777" w:rsidR="006202F0" w:rsidRPr="00DD01B2" w:rsidRDefault="006202F0" w:rsidP="005E2B22">
            <w:pPr>
              <w:rPr>
                <w:rFonts w:ascii="Aptos" w:hAnsi="Aptos" w:cstheme="minorHAnsi"/>
                <w:sz w:val="21"/>
                <w:szCs w:val="21"/>
              </w:rPr>
            </w:pPr>
          </w:p>
        </w:tc>
        <w:tc>
          <w:tcPr>
            <w:tcW w:w="919" w:type="dxa"/>
            <w:gridSpan w:val="2"/>
            <w:tcBorders>
              <w:top w:val="nil"/>
              <w:left w:val="nil"/>
              <w:bottom w:val="nil"/>
              <w:right w:val="nil"/>
            </w:tcBorders>
            <w:noWrap/>
            <w:vAlign w:val="center"/>
            <w:hideMark/>
          </w:tcPr>
          <w:p w14:paraId="0433E19B" w14:textId="77777777" w:rsidR="006202F0" w:rsidRPr="00DD01B2" w:rsidRDefault="006202F0" w:rsidP="005E2B22">
            <w:pPr>
              <w:rPr>
                <w:rFonts w:ascii="Aptos" w:hAnsi="Aptos" w:cstheme="minorHAnsi"/>
                <w:sz w:val="21"/>
                <w:szCs w:val="21"/>
              </w:rPr>
            </w:pPr>
          </w:p>
        </w:tc>
        <w:tc>
          <w:tcPr>
            <w:tcW w:w="830" w:type="dxa"/>
            <w:tcBorders>
              <w:top w:val="nil"/>
              <w:left w:val="nil"/>
              <w:bottom w:val="nil"/>
              <w:right w:val="nil"/>
            </w:tcBorders>
            <w:noWrap/>
            <w:vAlign w:val="center"/>
            <w:hideMark/>
          </w:tcPr>
          <w:p w14:paraId="5562A850" w14:textId="77777777" w:rsidR="006202F0" w:rsidRPr="00DD01B2" w:rsidRDefault="006202F0" w:rsidP="005E2B22">
            <w:pPr>
              <w:rPr>
                <w:rFonts w:ascii="Aptos" w:hAnsi="Aptos" w:cstheme="minorHAnsi"/>
                <w:sz w:val="21"/>
                <w:szCs w:val="21"/>
              </w:rPr>
            </w:pPr>
          </w:p>
        </w:tc>
      </w:tr>
      <w:tr w:rsidR="006202F0" w:rsidRPr="00DD01B2" w14:paraId="4C550863" w14:textId="77777777" w:rsidTr="005E2B22">
        <w:trPr>
          <w:trHeight w:val="60"/>
        </w:trPr>
        <w:tc>
          <w:tcPr>
            <w:tcW w:w="1701" w:type="dxa"/>
            <w:tcBorders>
              <w:top w:val="nil"/>
              <w:left w:val="nil"/>
              <w:bottom w:val="nil"/>
              <w:right w:val="nil"/>
            </w:tcBorders>
            <w:noWrap/>
            <w:vAlign w:val="center"/>
            <w:hideMark/>
          </w:tcPr>
          <w:p w14:paraId="5A46634C" w14:textId="77777777" w:rsidR="006202F0" w:rsidRPr="00DD01B2" w:rsidRDefault="006202F0" w:rsidP="005E2B22">
            <w:pPr>
              <w:rPr>
                <w:rFonts w:ascii="Aptos" w:hAnsi="Aptos" w:cstheme="minorHAnsi"/>
                <w:sz w:val="21"/>
                <w:szCs w:val="21"/>
              </w:rPr>
            </w:pPr>
          </w:p>
        </w:tc>
        <w:tc>
          <w:tcPr>
            <w:tcW w:w="945" w:type="dxa"/>
            <w:tcBorders>
              <w:top w:val="nil"/>
              <w:left w:val="nil"/>
              <w:bottom w:val="nil"/>
              <w:right w:val="nil"/>
            </w:tcBorders>
            <w:noWrap/>
            <w:vAlign w:val="center"/>
            <w:hideMark/>
          </w:tcPr>
          <w:p w14:paraId="595C42D5" w14:textId="77777777" w:rsidR="006202F0" w:rsidRPr="00DD01B2" w:rsidRDefault="006202F0" w:rsidP="005E2B22">
            <w:pPr>
              <w:rPr>
                <w:rFonts w:ascii="Aptos" w:hAnsi="Aptos" w:cstheme="minorHAnsi"/>
                <w:sz w:val="21"/>
                <w:szCs w:val="21"/>
              </w:rPr>
            </w:pPr>
          </w:p>
        </w:tc>
        <w:tc>
          <w:tcPr>
            <w:tcW w:w="615" w:type="dxa"/>
            <w:tcBorders>
              <w:top w:val="nil"/>
              <w:left w:val="nil"/>
              <w:bottom w:val="nil"/>
              <w:right w:val="nil"/>
            </w:tcBorders>
            <w:noWrap/>
            <w:vAlign w:val="center"/>
            <w:hideMark/>
          </w:tcPr>
          <w:p w14:paraId="437CD89E" w14:textId="77777777" w:rsidR="006202F0" w:rsidRPr="00DD01B2" w:rsidRDefault="006202F0" w:rsidP="005E2B22">
            <w:pPr>
              <w:rPr>
                <w:rFonts w:ascii="Aptos" w:hAnsi="Aptos" w:cstheme="minorHAnsi"/>
                <w:sz w:val="21"/>
                <w:szCs w:val="21"/>
              </w:rPr>
            </w:pPr>
          </w:p>
        </w:tc>
        <w:tc>
          <w:tcPr>
            <w:tcW w:w="1360" w:type="dxa"/>
            <w:tcBorders>
              <w:top w:val="nil"/>
              <w:left w:val="nil"/>
              <w:bottom w:val="nil"/>
              <w:right w:val="nil"/>
            </w:tcBorders>
            <w:noWrap/>
            <w:vAlign w:val="center"/>
            <w:hideMark/>
          </w:tcPr>
          <w:p w14:paraId="278F0D2D" w14:textId="77777777" w:rsidR="006202F0" w:rsidRPr="00DD01B2" w:rsidRDefault="006202F0" w:rsidP="005E2B22">
            <w:pPr>
              <w:rPr>
                <w:rFonts w:ascii="Aptos" w:hAnsi="Aptos" w:cstheme="minorHAnsi"/>
                <w:sz w:val="21"/>
                <w:szCs w:val="21"/>
              </w:rPr>
            </w:pPr>
          </w:p>
        </w:tc>
        <w:tc>
          <w:tcPr>
            <w:tcW w:w="761" w:type="dxa"/>
            <w:gridSpan w:val="2"/>
            <w:tcBorders>
              <w:top w:val="nil"/>
              <w:left w:val="nil"/>
              <w:bottom w:val="nil"/>
              <w:right w:val="nil"/>
            </w:tcBorders>
            <w:noWrap/>
            <w:vAlign w:val="center"/>
            <w:hideMark/>
          </w:tcPr>
          <w:p w14:paraId="35F940C7" w14:textId="77777777" w:rsidR="006202F0" w:rsidRPr="00DD01B2" w:rsidRDefault="006202F0" w:rsidP="005E2B22">
            <w:pPr>
              <w:rPr>
                <w:rFonts w:ascii="Aptos" w:hAnsi="Aptos" w:cstheme="minorHAnsi"/>
                <w:sz w:val="21"/>
                <w:szCs w:val="21"/>
              </w:rPr>
            </w:pPr>
          </w:p>
        </w:tc>
        <w:tc>
          <w:tcPr>
            <w:tcW w:w="1139" w:type="dxa"/>
            <w:tcBorders>
              <w:top w:val="nil"/>
              <w:left w:val="nil"/>
              <w:bottom w:val="nil"/>
              <w:right w:val="nil"/>
            </w:tcBorders>
            <w:noWrap/>
            <w:vAlign w:val="center"/>
            <w:hideMark/>
          </w:tcPr>
          <w:p w14:paraId="3636EC6F" w14:textId="77777777" w:rsidR="006202F0" w:rsidRPr="00DD01B2" w:rsidRDefault="006202F0" w:rsidP="005E2B22">
            <w:pPr>
              <w:rPr>
                <w:rFonts w:ascii="Aptos" w:hAnsi="Aptos" w:cstheme="minorHAnsi"/>
                <w:sz w:val="21"/>
                <w:szCs w:val="21"/>
              </w:rPr>
            </w:pPr>
          </w:p>
        </w:tc>
        <w:tc>
          <w:tcPr>
            <w:tcW w:w="850" w:type="dxa"/>
            <w:tcBorders>
              <w:top w:val="nil"/>
              <w:left w:val="nil"/>
              <w:bottom w:val="nil"/>
              <w:right w:val="nil"/>
            </w:tcBorders>
            <w:noWrap/>
            <w:vAlign w:val="center"/>
            <w:hideMark/>
          </w:tcPr>
          <w:p w14:paraId="74192581"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03C0B523"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12F1A927" w14:textId="77777777" w:rsidR="006202F0" w:rsidRPr="00DD01B2" w:rsidRDefault="006202F0" w:rsidP="005E2B22">
            <w:pPr>
              <w:rPr>
                <w:rFonts w:ascii="Aptos" w:hAnsi="Aptos" w:cstheme="minorHAnsi"/>
                <w:sz w:val="21"/>
                <w:szCs w:val="21"/>
              </w:rPr>
            </w:pPr>
          </w:p>
        </w:tc>
        <w:tc>
          <w:tcPr>
            <w:tcW w:w="919" w:type="dxa"/>
            <w:gridSpan w:val="2"/>
            <w:tcBorders>
              <w:top w:val="nil"/>
              <w:left w:val="nil"/>
              <w:bottom w:val="nil"/>
              <w:right w:val="nil"/>
            </w:tcBorders>
            <w:noWrap/>
            <w:vAlign w:val="center"/>
            <w:hideMark/>
          </w:tcPr>
          <w:p w14:paraId="5BF301CD" w14:textId="77777777" w:rsidR="006202F0" w:rsidRPr="00DD01B2" w:rsidRDefault="006202F0" w:rsidP="005E2B22">
            <w:pPr>
              <w:rPr>
                <w:rFonts w:ascii="Aptos" w:hAnsi="Aptos" w:cstheme="minorHAnsi"/>
                <w:sz w:val="21"/>
                <w:szCs w:val="21"/>
              </w:rPr>
            </w:pPr>
          </w:p>
        </w:tc>
        <w:tc>
          <w:tcPr>
            <w:tcW w:w="830" w:type="dxa"/>
            <w:tcBorders>
              <w:top w:val="nil"/>
              <w:left w:val="nil"/>
              <w:bottom w:val="nil"/>
              <w:right w:val="nil"/>
            </w:tcBorders>
            <w:noWrap/>
            <w:vAlign w:val="center"/>
            <w:hideMark/>
          </w:tcPr>
          <w:p w14:paraId="1498FE00" w14:textId="77777777" w:rsidR="006202F0" w:rsidRPr="00DD01B2" w:rsidRDefault="006202F0" w:rsidP="005E2B22">
            <w:pPr>
              <w:rPr>
                <w:rFonts w:ascii="Aptos" w:hAnsi="Aptos" w:cstheme="minorHAnsi"/>
                <w:sz w:val="21"/>
                <w:szCs w:val="21"/>
              </w:rPr>
            </w:pPr>
          </w:p>
        </w:tc>
      </w:tr>
      <w:tr w:rsidR="006202F0" w:rsidRPr="00DD01B2" w14:paraId="41A68555" w14:textId="77777777" w:rsidTr="005E2B22">
        <w:trPr>
          <w:trHeight w:val="300"/>
        </w:trPr>
        <w:tc>
          <w:tcPr>
            <w:tcW w:w="1701" w:type="dxa"/>
            <w:tcBorders>
              <w:top w:val="nil"/>
              <w:left w:val="nil"/>
              <w:bottom w:val="nil"/>
              <w:right w:val="nil"/>
            </w:tcBorders>
            <w:noWrap/>
            <w:vAlign w:val="center"/>
            <w:hideMark/>
          </w:tcPr>
          <w:p w14:paraId="752F9541"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Naziv obveznika:</w:t>
            </w:r>
          </w:p>
        </w:tc>
        <w:tc>
          <w:tcPr>
            <w:tcW w:w="2977" w:type="dxa"/>
            <w:gridSpan w:val="4"/>
            <w:tcBorders>
              <w:top w:val="nil"/>
              <w:left w:val="single" w:sz="4" w:space="0" w:color="auto"/>
              <w:bottom w:val="single" w:sz="4" w:space="0" w:color="auto"/>
              <w:right w:val="single" w:sz="4" w:space="0" w:color="000000"/>
            </w:tcBorders>
            <w:shd w:val="pct25" w:color="C0C0C0" w:fill="auto"/>
            <w:noWrap/>
            <w:vAlign w:val="center"/>
            <w:hideMark/>
          </w:tcPr>
          <w:p w14:paraId="3D7DCFE8" w14:textId="77777777" w:rsidR="006202F0" w:rsidRPr="00DD01B2" w:rsidRDefault="006202F0" w:rsidP="005E2B22">
            <w:pPr>
              <w:rPr>
                <w:rFonts w:ascii="Aptos" w:hAnsi="Aptos" w:cstheme="minorHAnsi"/>
                <w:b/>
                <w:bCs/>
                <w:color w:val="800000"/>
                <w:sz w:val="21"/>
                <w:szCs w:val="21"/>
              </w:rPr>
            </w:pPr>
            <w:r w:rsidRPr="00DD01B2">
              <w:rPr>
                <w:rFonts w:ascii="Aptos" w:hAnsi="Aptos" w:cstheme="minorHAnsi"/>
                <w:b/>
                <w:bCs/>
                <w:color w:val="800000"/>
                <w:sz w:val="21"/>
                <w:szCs w:val="21"/>
              </w:rPr>
              <w:t> GRAD BAKAR</w:t>
            </w:r>
          </w:p>
        </w:tc>
        <w:tc>
          <w:tcPr>
            <w:tcW w:w="3496" w:type="dxa"/>
            <w:gridSpan w:val="6"/>
            <w:tcBorders>
              <w:top w:val="nil"/>
              <w:left w:val="nil"/>
              <w:bottom w:val="nil"/>
              <w:right w:val="nil"/>
            </w:tcBorders>
            <w:noWrap/>
            <w:vAlign w:val="center"/>
            <w:hideMark/>
          </w:tcPr>
          <w:p w14:paraId="1E9DC356"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Od datuma:</w:t>
            </w:r>
          </w:p>
        </w:tc>
        <w:tc>
          <w:tcPr>
            <w:tcW w:w="1465"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255B7BBB" w14:textId="34C7ADE0" w:rsidR="006202F0" w:rsidRPr="00DD01B2" w:rsidRDefault="006202F0" w:rsidP="005E2B22">
            <w:pPr>
              <w:jc w:val="center"/>
              <w:rPr>
                <w:rFonts w:ascii="Aptos" w:hAnsi="Aptos" w:cstheme="minorHAnsi"/>
                <w:b/>
                <w:bCs/>
                <w:color w:val="800000"/>
                <w:sz w:val="21"/>
                <w:szCs w:val="21"/>
              </w:rPr>
            </w:pPr>
            <w:r w:rsidRPr="00DD01B2">
              <w:rPr>
                <w:rFonts w:ascii="Aptos" w:hAnsi="Aptos" w:cstheme="minorHAnsi"/>
                <w:b/>
                <w:bCs/>
                <w:color w:val="800000"/>
                <w:sz w:val="21"/>
                <w:szCs w:val="21"/>
              </w:rPr>
              <w:t>01.01.202</w:t>
            </w:r>
            <w:r w:rsidR="008C15FB" w:rsidRPr="00DD01B2">
              <w:rPr>
                <w:rFonts w:ascii="Aptos" w:hAnsi="Aptos" w:cstheme="minorHAnsi"/>
                <w:b/>
                <w:bCs/>
                <w:color w:val="800000"/>
                <w:sz w:val="21"/>
                <w:szCs w:val="21"/>
              </w:rPr>
              <w:t>5</w:t>
            </w:r>
            <w:r w:rsidRPr="00DD01B2">
              <w:rPr>
                <w:rFonts w:ascii="Aptos" w:hAnsi="Aptos" w:cstheme="minorHAnsi"/>
                <w:b/>
                <w:bCs/>
                <w:color w:val="800000"/>
                <w:sz w:val="21"/>
                <w:szCs w:val="21"/>
              </w:rPr>
              <w:t>. </w:t>
            </w:r>
          </w:p>
        </w:tc>
      </w:tr>
      <w:tr w:rsidR="006202F0" w:rsidRPr="00DD01B2" w14:paraId="64AF2524" w14:textId="77777777" w:rsidTr="005E2B22">
        <w:trPr>
          <w:trHeight w:val="60"/>
        </w:trPr>
        <w:tc>
          <w:tcPr>
            <w:tcW w:w="1701" w:type="dxa"/>
            <w:tcBorders>
              <w:top w:val="nil"/>
              <w:left w:val="nil"/>
              <w:bottom w:val="nil"/>
              <w:right w:val="nil"/>
            </w:tcBorders>
            <w:noWrap/>
            <w:vAlign w:val="center"/>
            <w:hideMark/>
          </w:tcPr>
          <w:p w14:paraId="2C55E3E6" w14:textId="77777777" w:rsidR="006202F0" w:rsidRPr="00DD01B2" w:rsidRDefault="006202F0" w:rsidP="005E2B22">
            <w:pPr>
              <w:rPr>
                <w:rFonts w:ascii="Aptos" w:hAnsi="Aptos" w:cstheme="minorHAnsi"/>
                <w:sz w:val="21"/>
                <w:szCs w:val="21"/>
              </w:rPr>
            </w:pPr>
          </w:p>
        </w:tc>
        <w:tc>
          <w:tcPr>
            <w:tcW w:w="945" w:type="dxa"/>
            <w:tcBorders>
              <w:top w:val="nil"/>
              <w:left w:val="nil"/>
              <w:bottom w:val="nil"/>
              <w:right w:val="nil"/>
            </w:tcBorders>
            <w:noWrap/>
            <w:vAlign w:val="center"/>
            <w:hideMark/>
          </w:tcPr>
          <w:p w14:paraId="7614B61C" w14:textId="77777777" w:rsidR="006202F0" w:rsidRPr="00DD01B2" w:rsidRDefault="006202F0" w:rsidP="005E2B22">
            <w:pPr>
              <w:rPr>
                <w:rFonts w:ascii="Aptos" w:hAnsi="Aptos" w:cstheme="minorHAnsi"/>
                <w:sz w:val="21"/>
                <w:szCs w:val="21"/>
              </w:rPr>
            </w:pPr>
          </w:p>
        </w:tc>
        <w:tc>
          <w:tcPr>
            <w:tcW w:w="615" w:type="dxa"/>
            <w:tcBorders>
              <w:top w:val="nil"/>
              <w:left w:val="nil"/>
              <w:bottom w:val="nil"/>
              <w:right w:val="nil"/>
            </w:tcBorders>
            <w:noWrap/>
            <w:vAlign w:val="center"/>
            <w:hideMark/>
          </w:tcPr>
          <w:p w14:paraId="139B3BEC" w14:textId="77777777" w:rsidR="006202F0" w:rsidRPr="00DD01B2" w:rsidRDefault="006202F0" w:rsidP="005E2B22">
            <w:pPr>
              <w:rPr>
                <w:rFonts w:ascii="Aptos" w:hAnsi="Aptos" w:cstheme="minorHAnsi"/>
                <w:sz w:val="21"/>
                <w:szCs w:val="21"/>
              </w:rPr>
            </w:pPr>
          </w:p>
        </w:tc>
        <w:tc>
          <w:tcPr>
            <w:tcW w:w="1360" w:type="dxa"/>
            <w:tcBorders>
              <w:top w:val="nil"/>
              <w:left w:val="nil"/>
              <w:bottom w:val="nil"/>
              <w:right w:val="nil"/>
            </w:tcBorders>
            <w:noWrap/>
            <w:vAlign w:val="center"/>
            <w:hideMark/>
          </w:tcPr>
          <w:p w14:paraId="45568801" w14:textId="77777777" w:rsidR="006202F0" w:rsidRPr="00DD01B2" w:rsidRDefault="006202F0" w:rsidP="005E2B22">
            <w:pPr>
              <w:rPr>
                <w:rFonts w:ascii="Aptos" w:hAnsi="Aptos" w:cstheme="minorHAnsi"/>
                <w:sz w:val="21"/>
                <w:szCs w:val="21"/>
              </w:rPr>
            </w:pPr>
          </w:p>
        </w:tc>
        <w:tc>
          <w:tcPr>
            <w:tcW w:w="761" w:type="dxa"/>
            <w:gridSpan w:val="2"/>
            <w:tcBorders>
              <w:top w:val="nil"/>
              <w:left w:val="nil"/>
              <w:bottom w:val="nil"/>
              <w:right w:val="nil"/>
            </w:tcBorders>
            <w:noWrap/>
            <w:vAlign w:val="center"/>
            <w:hideMark/>
          </w:tcPr>
          <w:p w14:paraId="23AC5BD7" w14:textId="77777777" w:rsidR="006202F0" w:rsidRPr="00DD01B2" w:rsidRDefault="006202F0" w:rsidP="005E2B22">
            <w:pPr>
              <w:rPr>
                <w:rFonts w:ascii="Aptos" w:hAnsi="Aptos" w:cstheme="minorHAnsi"/>
                <w:sz w:val="21"/>
                <w:szCs w:val="21"/>
              </w:rPr>
            </w:pPr>
          </w:p>
        </w:tc>
        <w:tc>
          <w:tcPr>
            <w:tcW w:w="1139" w:type="dxa"/>
            <w:tcBorders>
              <w:top w:val="nil"/>
              <w:left w:val="nil"/>
              <w:bottom w:val="nil"/>
              <w:right w:val="nil"/>
            </w:tcBorders>
            <w:noWrap/>
            <w:vAlign w:val="center"/>
            <w:hideMark/>
          </w:tcPr>
          <w:p w14:paraId="264C19E7" w14:textId="77777777" w:rsidR="006202F0" w:rsidRPr="00DD01B2" w:rsidRDefault="006202F0" w:rsidP="005E2B22">
            <w:pPr>
              <w:rPr>
                <w:rFonts w:ascii="Aptos" w:hAnsi="Aptos" w:cstheme="minorHAnsi"/>
                <w:sz w:val="21"/>
                <w:szCs w:val="21"/>
              </w:rPr>
            </w:pPr>
          </w:p>
        </w:tc>
        <w:tc>
          <w:tcPr>
            <w:tcW w:w="850" w:type="dxa"/>
            <w:tcBorders>
              <w:top w:val="nil"/>
              <w:left w:val="nil"/>
              <w:bottom w:val="nil"/>
              <w:right w:val="nil"/>
            </w:tcBorders>
            <w:noWrap/>
            <w:vAlign w:val="center"/>
            <w:hideMark/>
          </w:tcPr>
          <w:p w14:paraId="508A81BE"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6CA03328"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58D77D44" w14:textId="77777777" w:rsidR="006202F0" w:rsidRPr="00DD01B2" w:rsidRDefault="006202F0" w:rsidP="005E2B22">
            <w:pPr>
              <w:rPr>
                <w:rFonts w:ascii="Aptos" w:hAnsi="Aptos" w:cstheme="minorHAnsi"/>
                <w:sz w:val="21"/>
                <w:szCs w:val="21"/>
              </w:rPr>
            </w:pPr>
          </w:p>
        </w:tc>
        <w:tc>
          <w:tcPr>
            <w:tcW w:w="919" w:type="dxa"/>
            <w:gridSpan w:val="2"/>
            <w:tcBorders>
              <w:top w:val="nil"/>
              <w:left w:val="nil"/>
              <w:bottom w:val="nil"/>
              <w:right w:val="nil"/>
            </w:tcBorders>
            <w:noWrap/>
            <w:vAlign w:val="center"/>
            <w:hideMark/>
          </w:tcPr>
          <w:p w14:paraId="5DED7DBB" w14:textId="77777777" w:rsidR="006202F0" w:rsidRPr="00DD01B2" w:rsidRDefault="006202F0" w:rsidP="005E2B22">
            <w:pPr>
              <w:rPr>
                <w:rFonts w:ascii="Aptos" w:hAnsi="Aptos" w:cstheme="minorHAnsi"/>
                <w:sz w:val="21"/>
                <w:szCs w:val="21"/>
              </w:rPr>
            </w:pPr>
          </w:p>
        </w:tc>
        <w:tc>
          <w:tcPr>
            <w:tcW w:w="830" w:type="dxa"/>
            <w:tcBorders>
              <w:top w:val="nil"/>
              <w:left w:val="nil"/>
              <w:bottom w:val="nil"/>
              <w:right w:val="nil"/>
            </w:tcBorders>
            <w:noWrap/>
            <w:vAlign w:val="center"/>
            <w:hideMark/>
          </w:tcPr>
          <w:p w14:paraId="7AFD5B94" w14:textId="77777777" w:rsidR="006202F0" w:rsidRPr="00DD01B2" w:rsidRDefault="006202F0" w:rsidP="005E2B22">
            <w:pPr>
              <w:rPr>
                <w:rFonts w:ascii="Aptos" w:hAnsi="Aptos" w:cstheme="minorHAnsi"/>
                <w:sz w:val="21"/>
                <w:szCs w:val="21"/>
              </w:rPr>
            </w:pPr>
          </w:p>
        </w:tc>
      </w:tr>
      <w:tr w:rsidR="006202F0" w:rsidRPr="00DD01B2" w14:paraId="13F6CE13" w14:textId="77777777" w:rsidTr="005E2B22">
        <w:trPr>
          <w:trHeight w:val="300"/>
        </w:trPr>
        <w:tc>
          <w:tcPr>
            <w:tcW w:w="1701" w:type="dxa"/>
            <w:tcBorders>
              <w:top w:val="nil"/>
              <w:left w:val="nil"/>
              <w:bottom w:val="nil"/>
              <w:right w:val="nil"/>
            </w:tcBorders>
            <w:noWrap/>
            <w:vAlign w:val="center"/>
            <w:hideMark/>
          </w:tcPr>
          <w:p w14:paraId="2E30B0F8"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Pošta i mjesto:</w:t>
            </w:r>
          </w:p>
        </w:tc>
        <w:tc>
          <w:tcPr>
            <w:tcW w:w="945" w:type="dxa"/>
            <w:tcBorders>
              <w:top w:val="nil"/>
              <w:left w:val="single" w:sz="4" w:space="0" w:color="auto"/>
              <w:bottom w:val="single" w:sz="4" w:space="0" w:color="auto"/>
              <w:right w:val="double" w:sz="6" w:space="0" w:color="auto"/>
            </w:tcBorders>
            <w:shd w:val="pct25" w:color="C0C0C0" w:fill="auto"/>
            <w:noWrap/>
            <w:vAlign w:val="center"/>
            <w:hideMark/>
          </w:tcPr>
          <w:p w14:paraId="1D01DA3C" w14:textId="77777777" w:rsidR="006202F0" w:rsidRPr="00DD01B2" w:rsidRDefault="006202F0" w:rsidP="005E2B22">
            <w:pPr>
              <w:rPr>
                <w:rFonts w:ascii="Aptos" w:hAnsi="Aptos" w:cstheme="minorHAnsi"/>
                <w:b/>
                <w:bCs/>
                <w:color w:val="800000"/>
                <w:sz w:val="21"/>
                <w:szCs w:val="21"/>
              </w:rPr>
            </w:pPr>
            <w:r w:rsidRPr="00DD01B2">
              <w:rPr>
                <w:rFonts w:ascii="Aptos" w:hAnsi="Aptos" w:cstheme="minorHAnsi"/>
                <w:b/>
                <w:bCs/>
                <w:color w:val="800000"/>
                <w:sz w:val="21"/>
                <w:szCs w:val="21"/>
              </w:rPr>
              <w:t> 51222</w:t>
            </w:r>
          </w:p>
        </w:tc>
        <w:tc>
          <w:tcPr>
            <w:tcW w:w="2032" w:type="dxa"/>
            <w:gridSpan w:val="3"/>
            <w:tcBorders>
              <w:top w:val="nil"/>
              <w:left w:val="nil"/>
              <w:bottom w:val="single" w:sz="4" w:space="0" w:color="auto"/>
              <w:right w:val="single" w:sz="4" w:space="0" w:color="000000"/>
            </w:tcBorders>
            <w:shd w:val="pct25" w:color="C0C0C0" w:fill="auto"/>
            <w:noWrap/>
            <w:vAlign w:val="center"/>
            <w:hideMark/>
          </w:tcPr>
          <w:p w14:paraId="6B1DF5DA" w14:textId="77777777" w:rsidR="006202F0" w:rsidRPr="00DD01B2" w:rsidRDefault="006202F0" w:rsidP="005E2B22">
            <w:pPr>
              <w:rPr>
                <w:rFonts w:ascii="Aptos" w:hAnsi="Aptos" w:cstheme="minorHAnsi"/>
                <w:b/>
                <w:bCs/>
                <w:color w:val="800000"/>
                <w:sz w:val="21"/>
                <w:szCs w:val="21"/>
              </w:rPr>
            </w:pPr>
            <w:r w:rsidRPr="00DD01B2">
              <w:rPr>
                <w:rFonts w:ascii="Aptos" w:hAnsi="Aptos" w:cstheme="minorHAnsi"/>
                <w:b/>
                <w:bCs/>
                <w:color w:val="800000"/>
                <w:sz w:val="21"/>
                <w:szCs w:val="21"/>
              </w:rPr>
              <w:t> BAKAR</w:t>
            </w:r>
          </w:p>
        </w:tc>
        <w:tc>
          <w:tcPr>
            <w:tcW w:w="3496" w:type="dxa"/>
            <w:gridSpan w:val="6"/>
            <w:tcBorders>
              <w:top w:val="nil"/>
              <w:left w:val="nil"/>
              <w:bottom w:val="nil"/>
              <w:right w:val="nil"/>
            </w:tcBorders>
            <w:noWrap/>
            <w:vAlign w:val="center"/>
            <w:hideMark/>
          </w:tcPr>
          <w:p w14:paraId="776DA607"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Do datuma:</w:t>
            </w:r>
          </w:p>
        </w:tc>
        <w:tc>
          <w:tcPr>
            <w:tcW w:w="1465"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448741DE" w14:textId="4D1D261C" w:rsidR="006202F0" w:rsidRPr="00DD01B2" w:rsidRDefault="006202F0" w:rsidP="005E2B22">
            <w:pPr>
              <w:jc w:val="center"/>
              <w:rPr>
                <w:rFonts w:ascii="Aptos" w:hAnsi="Aptos" w:cstheme="minorHAnsi"/>
                <w:b/>
                <w:bCs/>
                <w:color w:val="800000"/>
                <w:sz w:val="21"/>
                <w:szCs w:val="21"/>
              </w:rPr>
            </w:pPr>
            <w:r w:rsidRPr="00DD01B2">
              <w:rPr>
                <w:rFonts w:ascii="Aptos" w:hAnsi="Aptos" w:cstheme="minorHAnsi"/>
                <w:b/>
                <w:bCs/>
                <w:color w:val="800000"/>
                <w:sz w:val="21"/>
                <w:szCs w:val="21"/>
              </w:rPr>
              <w:t> 31.12.202</w:t>
            </w:r>
            <w:r w:rsidR="008C15FB" w:rsidRPr="00DD01B2">
              <w:rPr>
                <w:rFonts w:ascii="Aptos" w:hAnsi="Aptos" w:cstheme="minorHAnsi"/>
                <w:b/>
                <w:bCs/>
                <w:color w:val="800000"/>
                <w:sz w:val="21"/>
                <w:szCs w:val="21"/>
              </w:rPr>
              <w:t>5</w:t>
            </w:r>
            <w:r w:rsidRPr="00DD01B2">
              <w:rPr>
                <w:rFonts w:ascii="Aptos" w:hAnsi="Aptos" w:cstheme="minorHAnsi"/>
                <w:b/>
                <w:bCs/>
                <w:color w:val="800000"/>
                <w:sz w:val="21"/>
                <w:szCs w:val="21"/>
              </w:rPr>
              <w:t>.</w:t>
            </w:r>
          </w:p>
        </w:tc>
      </w:tr>
      <w:tr w:rsidR="006202F0" w:rsidRPr="00DD01B2" w14:paraId="0168BAE2" w14:textId="77777777" w:rsidTr="005E2B22">
        <w:trPr>
          <w:trHeight w:val="60"/>
        </w:trPr>
        <w:tc>
          <w:tcPr>
            <w:tcW w:w="1701" w:type="dxa"/>
            <w:tcBorders>
              <w:top w:val="nil"/>
              <w:left w:val="nil"/>
              <w:bottom w:val="nil"/>
              <w:right w:val="nil"/>
            </w:tcBorders>
            <w:noWrap/>
            <w:vAlign w:val="center"/>
            <w:hideMark/>
          </w:tcPr>
          <w:p w14:paraId="7E4C5C01" w14:textId="77777777" w:rsidR="006202F0" w:rsidRPr="00DD01B2" w:rsidRDefault="006202F0" w:rsidP="005E2B22">
            <w:pPr>
              <w:rPr>
                <w:rFonts w:ascii="Aptos" w:hAnsi="Aptos" w:cstheme="minorHAnsi"/>
                <w:sz w:val="21"/>
                <w:szCs w:val="21"/>
              </w:rPr>
            </w:pPr>
          </w:p>
        </w:tc>
        <w:tc>
          <w:tcPr>
            <w:tcW w:w="945" w:type="dxa"/>
            <w:tcBorders>
              <w:top w:val="nil"/>
              <w:left w:val="nil"/>
              <w:bottom w:val="nil"/>
              <w:right w:val="nil"/>
            </w:tcBorders>
            <w:noWrap/>
            <w:vAlign w:val="center"/>
            <w:hideMark/>
          </w:tcPr>
          <w:p w14:paraId="52729FE7" w14:textId="77777777" w:rsidR="006202F0" w:rsidRPr="00DD01B2" w:rsidRDefault="006202F0" w:rsidP="005E2B22">
            <w:pPr>
              <w:rPr>
                <w:rFonts w:ascii="Aptos" w:hAnsi="Aptos" w:cstheme="minorHAnsi"/>
                <w:sz w:val="21"/>
                <w:szCs w:val="21"/>
              </w:rPr>
            </w:pPr>
          </w:p>
        </w:tc>
        <w:tc>
          <w:tcPr>
            <w:tcW w:w="615" w:type="dxa"/>
            <w:tcBorders>
              <w:top w:val="nil"/>
              <w:left w:val="nil"/>
              <w:bottom w:val="nil"/>
              <w:right w:val="nil"/>
            </w:tcBorders>
            <w:noWrap/>
            <w:vAlign w:val="center"/>
            <w:hideMark/>
          </w:tcPr>
          <w:p w14:paraId="126D3F68" w14:textId="77777777" w:rsidR="006202F0" w:rsidRPr="00DD01B2" w:rsidRDefault="006202F0" w:rsidP="005E2B22">
            <w:pPr>
              <w:rPr>
                <w:rFonts w:ascii="Aptos" w:hAnsi="Aptos" w:cstheme="minorHAnsi"/>
                <w:sz w:val="21"/>
                <w:szCs w:val="21"/>
              </w:rPr>
            </w:pPr>
          </w:p>
        </w:tc>
        <w:tc>
          <w:tcPr>
            <w:tcW w:w="1360" w:type="dxa"/>
            <w:tcBorders>
              <w:top w:val="nil"/>
              <w:left w:val="nil"/>
              <w:bottom w:val="nil"/>
              <w:right w:val="nil"/>
            </w:tcBorders>
            <w:noWrap/>
            <w:vAlign w:val="center"/>
            <w:hideMark/>
          </w:tcPr>
          <w:p w14:paraId="04262E22" w14:textId="77777777" w:rsidR="006202F0" w:rsidRPr="00DD01B2" w:rsidRDefault="006202F0" w:rsidP="005E2B22">
            <w:pPr>
              <w:rPr>
                <w:rFonts w:ascii="Aptos" w:hAnsi="Aptos" w:cstheme="minorHAnsi"/>
                <w:sz w:val="21"/>
                <w:szCs w:val="21"/>
              </w:rPr>
            </w:pPr>
          </w:p>
        </w:tc>
        <w:tc>
          <w:tcPr>
            <w:tcW w:w="761" w:type="dxa"/>
            <w:gridSpan w:val="2"/>
            <w:tcBorders>
              <w:top w:val="nil"/>
              <w:left w:val="nil"/>
              <w:bottom w:val="nil"/>
              <w:right w:val="nil"/>
            </w:tcBorders>
            <w:noWrap/>
            <w:vAlign w:val="center"/>
            <w:hideMark/>
          </w:tcPr>
          <w:p w14:paraId="47C48E6A" w14:textId="77777777" w:rsidR="006202F0" w:rsidRPr="00DD01B2" w:rsidRDefault="006202F0" w:rsidP="005E2B22">
            <w:pPr>
              <w:rPr>
                <w:rFonts w:ascii="Aptos" w:hAnsi="Aptos" w:cstheme="minorHAnsi"/>
                <w:sz w:val="21"/>
                <w:szCs w:val="21"/>
              </w:rPr>
            </w:pPr>
          </w:p>
        </w:tc>
        <w:tc>
          <w:tcPr>
            <w:tcW w:w="1139" w:type="dxa"/>
            <w:tcBorders>
              <w:top w:val="nil"/>
              <w:left w:val="nil"/>
              <w:bottom w:val="nil"/>
              <w:right w:val="nil"/>
            </w:tcBorders>
            <w:noWrap/>
            <w:vAlign w:val="center"/>
            <w:hideMark/>
          </w:tcPr>
          <w:p w14:paraId="5A985DF6" w14:textId="77777777" w:rsidR="006202F0" w:rsidRPr="00DD01B2" w:rsidRDefault="006202F0" w:rsidP="005E2B22">
            <w:pPr>
              <w:rPr>
                <w:rFonts w:ascii="Aptos" w:hAnsi="Aptos" w:cstheme="minorHAnsi"/>
                <w:sz w:val="21"/>
                <w:szCs w:val="21"/>
              </w:rPr>
            </w:pPr>
          </w:p>
        </w:tc>
        <w:tc>
          <w:tcPr>
            <w:tcW w:w="850" w:type="dxa"/>
            <w:tcBorders>
              <w:top w:val="nil"/>
              <w:left w:val="nil"/>
              <w:bottom w:val="nil"/>
              <w:right w:val="nil"/>
            </w:tcBorders>
            <w:noWrap/>
            <w:vAlign w:val="center"/>
            <w:hideMark/>
          </w:tcPr>
          <w:p w14:paraId="22597DF6"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5E4206CE"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260BEEC5" w14:textId="77777777" w:rsidR="006202F0" w:rsidRPr="00DD01B2" w:rsidRDefault="006202F0" w:rsidP="005E2B22">
            <w:pPr>
              <w:rPr>
                <w:rFonts w:ascii="Aptos" w:hAnsi="Aptos" w:cstheme="minorHAnsi"/>
                <w:sz w:val="21"/>
                <w:szCs w:val="21"/>
              </w:rPr>
            </w:pPr>
          </w:p>
        </w:tc>
        <w:tc>
          <w:tcPr>
            <w:tcW w:w="919" w:type="dxa"/>
            <w:gridSpan w:val="2"/>
            <w:tcBorders>
              <w:top w:val="nil"/>
              <w:left w:val="nil"/>
              <w:bottom w:val="nil"/>
              <w:right w:val="nil"/>
            </w:tcBorders>
            <w:noWrap/>
            <w:vAlign w:val="center"/>
            <w:hideMark/>
          </w:tcPr>
          <w:p w14:paraId="32D3BE8E" w14:textId="77777777" w:rsidR="006202F0" w:rsidRPr="00DD01B2" w:rsidRDefault="006202F0" w:rsidP="005E2B22">
            <w:pPr>
              <w:rPr>
                <w:rFonts w:ascii="Aptos" w:hAnsi="Aptos" w:cstheme="minorHAnsi"/>
                <w:sz w:val="21"/>
                <w:szCs w:val="21"/>
              </w:rPr>
            </w:pPr>
          </w:p>
        </w:tc>
        <w:tc>
          <w:tcPr>
            <w:tcW w:w="830" w:type="dxa"/>
            <w:tcBorders>
              <w:top w:val="nil"/>
              <w:left w:val="nil"/>
              <w:bottom w:val="nil"/>
              <w:right w:val="nil"/>
            </w:tcBorders>
            <w:noWrap/>
            <w:vAlign w:val="center"/>
            <w:hideMark/>
          </w:tcPr>
          <w:p w14:paraId="00420FE7" w14:textId="77777777" w:rsidR="006202F0" w:rsidRPr="00DD01B2" w:rsidRDefault="006202F0" w:rsidP="005E2B22">
            <w:pPr>
              <w:rPr>
                <w:rFonts w:ascii="Aptos" w:hAnsi="Aptos" w:cstheme="minorHAnsi"/>
                <w:sz w:val="21"/>
                <w:szCs w:val="21"/>
              </w:rPr>
            </w:pPr>
          </w:p>
        </w:tc>
      </w:tr>
      <w:tr w:rsidR="006202F0" w:rsidRPr="00DD01B2" w14:paraId="2B70B0E2" w14:textId="77777777" w:rsidTr="005E2B22">
        <w:trPr>
          <w:trHeight w:val="300"/>
        </w:trPr>
        <w:tc>
          <w:tcPr>
            <w:tcW w:w="1701" w:type="dxa"/>
            <w:tcBorders>
              <w:top w:val="nil"/>
              <w:left w:val="nil"/>
              <w:bottom w:val="nil"/>
              <w:right w:val="nil"/>
            </w:tcBorders>
            <w:noWrap/>
            <w:vAlign w:val="center"/>
            <w:hideMark/>
          </w:tcPr>
          <w:p w14:paraId="29D618CA"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Ulica i kućni broj:</w:t>
            </w:r>
          </w:p>
        </w:tc>
        <w:tc>
          <w:tcPr>
            <w:tcW w:w="2977" w:type="dxa"/>
            <w:gridSpan w:val="4"/>
            <w:tcBorders>
              <w:top w:val="nil"/>
              <w:left w:val="single" w:sz="4" w:space="0" w:color="auto"/>
              <w:bottom w:val="single" w:sz="4" w:space="0" w:color="auto"/>
              <w:right w:val="single" w:sz="4" w:space="0" w:color="000000"/>
            </w:tcBorders>
            <w:shd w:val="pct25" w:color="C0C0C0" w:fill="auto"/>
            <w:noWrap/>
            <w:vAlign w:val="center"/>
            <w:hideMark/>
          </w:tcPr>
          <w:p w14:paraId="1581D770" w14:textId="77777777" w:rsidR="006202F0" w:rsidRPr="00DD01B2" w:rsidRDefault="006202F0" w:rsidP="005E2B22">
            <w:pPr>
              <w:rPr>
                <w:rFonts w:ascii="Aptos" w:hAnsi="Aptos" w:cstheme="minorHAnsi"/>
                <w:b/>
                <w:bCs/>
                <w:color w:val="800000"/>
                <w:sz w:val="21"/>
                <w:szCs w:val="21"/>
              </w:rPr>
            </w:pPr>
            <w:r w:rsidRPr="00DD01B2">
              <w:rPr>
                <w:rFonts w:ascii="Aptos" w:hAnsi="Aptos" w:cstheme="minorHAnsi"/>
                <w:b/>
                <w:bCs/>
                <w:color w:val="800000"/>
                <w:sz w:val="21"/>
                <w:szCs w:val="21"/>
              </w:rPr>
              <w:t> PRIMORJE 39</w:t>
            </w:r>
          </w:p>
        </w:tc>
        <w:tc>
          <w:tcPr>
            <w:tcW w:w="3496" w:type="dxa"/>
            <w:gridSpan w:val="6"/>
            <w:tcBorders>
              <w:top w:val="nil"/>
              <w:left w:val="nil"/>
              <w:bottom w:val="nil"/>
              <w:right w:val="nil"/>
            </w:tcBorders>
            <w:noWrap/>
            <w:vAlign w:val="center"/>
            <w:hideMark/>
          </w:tcPr>
          <w:p w14:paraId="31329883"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OIB:</w:t>
            </w:r>
          </w:p>
        </w:tc>
        <w:tc>
          <w:tcPr>
            <w:tcW w:w="1465" w:type="dxa"/>
            <w:gridSpan w:val="2"/>
            <w:tcBorders>
              <w:top w:val="nil"/>
              <w:left w:val="single" w:sz="4" w:space="0" w:color="auto"/>
              <w:bottom w:val="single" w:sz="4" w:space="0" w:color="auto"/>
              <w:right w:val="single" w:sz="4" w:space="0" w:color="auto"/>
            </w:tcBorders>
            <w:shd w:val="pct25" w:color="C0C0C0" w:fill="auto"/>
            <w:noWrap/>
            <w:vAlign w:val="center"/>
            <w:hideMark/>
          </w:tcPr>
          <w:p w14:paraId="7D11B599" w14:textId="77777777" w:rsidR="006202F0" w:rsidRPr="00DD01B2" w:rsidRDefault="006202F0" w:rsidP="005E2B22">
            <w:pPr>
              <w:jc w:val="center"/>
              <w:rPr>
                <w:rFonts w:ascii="Aptos" w:hAnsi="Aptos" w:cstheme="minorHAnsi"/>
                <w:b/>
                <w:bCs/>
                <w:color w:val="800000"/>
                <w:sz w:val="21"/>
                <w:szCs w:val="21"/>
              </w:rPr>
            </w:pPr>
            <w:r w:rsidRPr="00DD01B2">
              <w:rPr>
                <w:rFonts w:ascii="Aptos" w:hAnsi="Aptos" w:cstheme="minorHAnsi"/>
                <w:b/>
                <w:bCs/>
                <w:color w:val="800000"/>
                <w:sz w:val="21"/>
                <w:szCs w:val="21"/>
              </w:rPr>
              <w:t> 31708325678</w:t>
            </w:r>
          </w:p>
        </w:tc>
      </w:tr>
      <w:tr w:rsidR="006202F0" w:rsidRPr="00DD01B2" w14:paraId="09AE97E2" w14:textId="77777777" w:rsidTr="005E2B22">
        <w:trPr>
          <w:trHeight w:val="60"/>
        </w:trPr>
        <w:tc>
          <w:tcPr>
            <w:tcW w:w="1701" w:type="dxa"/>
            <w:tcBorders>
              <w:top w:val="nil"/>
              <w:left w:val="nil"/>
              <w:bottom w:val="nil"/>
              <w:right w:val="nil"/>
            </w:tcBorders>
            <w:noWrap/>
            <w:vAlign w:val="center"/>
            <w:hideMark/>
          </w:tcPr>
          <w:p w14:paraId="1D3EA326" w14:textId="77777777" w:rsidR="006202F0" w:rsidRPr="00DD01B2" w:rsidRDefault="006202F0" w:rsidP="005E2B22">
            <w:pPr>
              <w:rPr>
                <w:rFonts w:ascii="Aptos" w:hAnsi="Aptos" w:cstheme="minorHAnsi"/>
                <w:sz w:val="21"/>
                <w:szCs w:val="21"/>
              </w:rPr>
            </w:pPr>
          </w:p>
        </w:tc>
        <w:tc>
          <w:tcPr>
            <w:tcW w:w="945" w:type="dxa"/>
            <w:tcBorders>
              <w:top w:val="nil"/>
              <w:left w:val="nil"/>
              <w:bottom w:val="nil"/>
              <w:right w:val="nil"/>
            </w:tcBorders>
            <w:noWrap/>
            <w:vAlign w:val="center"/>
            <w:hideMark/>
          </w:tcPr>
          <w:p w14:paraId="0705A281" w14:textId="77777777" w:rsidR="006202F0" w:rsidRPr="00DD01B2" w:rsidRDefault="006202F0" w:rsidP="005E2B22">
            <w:pPr>
              <w:rPr>
                <w:rFonts w:ascii="Aptos" w:hAnsi="Aptos" w:cstheme="minorHAnsi"/>
                <w:sz w:val="21"/>
                <w:szCs w:val="21"/>
              </w:rPr>
            </w:pPr>
          </w:p>
        </w:tc>
        <w:tc>
          <w:tcPr>
            <w:tcW w:w="615" w:type="dxa"/>
            <w:tcBorders>
              <w:top w:val="nil"/>
              <w:left w:val="nil"/>
              <w:bottom w:val="nil"/>
              <w:right w:val="nil"/>
            </w:tcBorders>
            <w:noWrap/>
            <w:vAlign w:val="center"/>
            <w:hideMark/>
          </w:tcPr>
          <w:p w14:paraId="7E37DD17" w14:textId="77777777" w:rsidR="006202F0" w:rsidRPr="00DD01B2" w:rsidRDefault="006202F0" w:rsidP="005E2B22">
            <w:pPr>
              <w:rPr>
                <w:rFonts w:ascii="Aptos" w:hAnsi="Aptos" w:cstheme="minorHAnsi"/>
                <w:sz w:val="21"/>
                <w:szCs w:val="21"/>
              </w:rPr>
            </w:pPr>
          </w:p>
        </w:tc>
        <w:tc>
          <w:tcPr>
            <w:tcW w:w="1360" w:type="dxa"/>
            <w:tcBorders>
              <w:top w:val="nil"/>
              <w:left w:val="nil"/>
              <w:bottom w:val="nil"/>
              <w:right w:val="nil"/>
            </w:tcBorders>
            <w:noWrap/>
            <w:vAlign w:val="center"/>
            <w:hideMark/>
          </w:tcPr>
          <w:p w14:paraId="4029BE55" w14:textId="77777777" w:rsidR="006202F0" w:rsidRPr="00DD01B2" w:rsidRDefault="006202F0" w:rsidP="005E2B22">
            <w:pPr>
              <w:rPr>
                <w:rFonts w:ascii="Aptos" w:hAnsi="Aptos" w:cstheme="minorHAnsi"/>
                <w:sz w:val="21"/>
                <w:szCs w:val="21"/>
              </w:rPr>
            </w:pPr>
          </w:p>
        </w:tc>
        <w:tc>
          <w:tcPr>
            <w:tcW w:w="761" w:type="dxa"/>
            <w:gridSpan w:val="2"/>
            <w:tcBorders>
              <w:top w:val="nil"/>
              <w:left w:val="nil"/>
              <w:bottom w:val="nil"/>
              <w:right w:val="nil"/>
            </w:tcBorders>
            <w:noWrap/>
            <w:vAlign w:val="center"/>
            <w:hideMark/>
          </w:tcPr>
          <w:p w14:paraId="1C7789D7" w14:textId="77777777" w:rsidR="006202F0" w:rsidRPr="00DD01B2" w:rsidRDefault="006202F0" w:rsidP="005E2B22">
            <w:pPr>
              <w:rPr>
                <w:rFonts w:ascii="Aptos" w:hAnsi="Aptos" w:cstheme="minorHAnsi"/>
                <w:sz w:val="21"/>
                <w:szCs w:val="21"/>
              </w:rPr>
            </w:pPr>
          </w:p>
        </w:tc>
        <w:tc>
          <w:tcPr>
            <w:tcW w:w="1139" w:type="dxa"/>
            <w:tcBorders>
              <w:top w:val="nil"/>
              <w:left w:val="nil"/>
              <w:bottom w:val="nil"/>
              <w:right w:val="nil"/>
            </w:tcBorders>
            <w:noWrap/>
            <w:vAlign w:val="center"/>
            <w:hideMark/>
          </w:tcPr>
          <w:p w14:paraId="30EFB11B" w14:textId="77777777" w:rsidR="006202F0" w:rsidRPr="00DD01B2" w:rsidRDefault="006202F0" w:rsidP="005E2B22">
            <w:pPr>
              <w:rPr>
                <w:rFonts w:ascii="Aptos" w:hAnsi="Aptos" w:cstheme="minorHAnsi"/>
                <w:sz w:val="21"/>
                <w:szCs w:val="21"/>
              </w:rPr>
            </w:pPr>
          </w:p>
        </w:tc>
        <w:tc>
          <w:tcPr>
            <w:tcW w:w="850" w:type="dxa"/>
            <w:tcBorders>
              <w:top w:val="nil"/>
              <w:left w:val="nil"/>
              <w:bottom w:val="nil"/>
              <w:right w:val="nil"/>
            </w:tcBorders>
            <w:noWrap/>
            <w:vAlign w:val="center"/>
            <w:hideMark/>
          </w:tcPr>
          <w:p w14:paraId="766A34E4"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637C1818"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2AB547EE" w14:textId="77777777" w:rsidR="006202F0" w:rsidRPr="00DD01B2" w:rsidRDefault="006202F0" w:rsidP="005E2B22">
            <w:pPr>
              <w:rPr>
                <w:rFonts w:ascii="Aptos" w:hAnsi="Aptos" w:cstheme="minorHAnsi"/>
                <w:sz w:val="21"/>
                <w:szCs w:val="21"/>
              </w:rPr>
            </w:pPr>
          </w:p>
        </w:tc>
        <w:tc>
          <w:tcPr>
            <w:tcW w:w="919" w:type="dxa"/>
            <w:gridSpan w:val="2"/>
            <w:tcBorders>
              <w:top w:val="nil"/>
              <w:left w:val="nil"/>
              <w:bottom w:val="nil"/>
              <w:right w:val="nil"/>
            </w:tcBorders>
            <w:noWrap/>
            <w:vAlign w:val="center"/>
            <w:hideMark/>
          </w:tcPr>
          <w:p w14:paraId="07954EEE" w14:textId="77777777" w:rsidR="006202F0" w:rsidRPr="00DD01B2" w:rsidRDefault="006202F0" w:rsidP="005E2B22">
            <w:pPr>
              <w:rPr>
                <w:rFonts w:ascii="Aptos" w:hAnsi="Aptos" w:cstheme="minorHAnsi"/>
                <w:sz w:val="21"/>
                <w:szCs w:val="21"/>
              </w:rPr>
            </w:pPr>
          </w:p>
        </w:tc>
        <w:tc>
          <w:tcPr>
            <w:tcW w:w="830" w:type="dxa"/>
            <w:tcBorders>
              <w:top w:val="nil"/>
              <w:left w:val="nil"/>
              <w:bottom w:val="nil"/>
              <w:right w:val="nil"/>
            </w:tcBorders>
            <w:noWrap/>
            <w:vAlign w:val="center"/>
            <w:hideMark/>
          </w:tcPr>
          <w:p w14:paraId="0601AF4C" w14:textId="77777777" w:rsidR="006202F0" w:rsidRPr="00DD01B2" w:rsidRDefault="006202F0" w:rsidP="005E2B22">
            <w:pPr>
              <w:rPr>
                <w:rFonts w:ascii="Aptos" w:hAnsi="Aptos" w:cstheme="minorHAnsi"/>
                <w:sz w:val="21"/>
                <w:szCs w:val="21"/>
              </w:rPr>
            </w:pPr>
          </w:p>
        </w:tc>
      </w:tr>
      <w:tr w:rsidR="006202F0" w:rsidRPr="00DD01B2" w14:paraId="616F95FE" w14:textId="77777777" w:rsidTr="005E2B22">
        <w:trPr>
          <w:trHeight w:val="300"/>
        </w:trPr>
        <w:tc>
          <w:tcPr>
            <w:tcW w:w="1701" w:type="dxa"/>
            <w:tcBorders>
              <w:top w:val="nil"/>
              <w:left w:val="nil"/>
              <w:bottom w:val="nil"/>
              <w:right w:val="nil"/>
            </w:tcBorders>
            <w:noWrap/>
            <w:vAlign w:val="center"/>
            <w:hideMark/>
          </w:tcPr>
          <w:p w14:paraId="0A055F18" w14:textId="77777777" w:rsidR="006202F0" w:rsidRPr="00DD01B2" w:rsidRDefault="006202F0" w:rsidP="005E2B22">
            <w:pPr>
              <w:jc w:val="right"/>
              <w:rPr>
                <w:rFonts w:ascii="Aptos" w:hAnsi="Aptos" w:cstheme="minorHAnsi"/>
                <w:b/>
                <w:bCs/>
                <w:color w:val="000080"/>
                <w:sz w:val="21"/>
                <w:szCs w:val="21"/>
              </w:rPr>
            </w:pPr>
            <w:r w:rsidRPr="00DD01B2">
              <w:rPr>
                <w:rFonts w:ascii="Aptos" w:hAnsi="Aptos" w:cstheme="minorHAnsi"/>
                <w:b/>
                <w:bCs/>
                <w:color w:val="000080"/>
                <w:sz w:val="21"/>
                <w:szCs w:val="21"/>
              </w:rPr>
              <w:t>Razina:</w:t>
            </w:r>
          </w:p>
        </w:tc>
        <w:tc>
          <w:tcPr>
            <w:tcW w:w="945" w:type="dxa"/>
            <w:tcBorders>
              <w:top w:val="nil"/>
              <w:left w:val="single" w:sz="4" w:space="0" w:color="auto"/>
              <w:bottom w:val="single" w:sz="4" w:space="0" w:color="auto"/>
              <w:right w:val="single" w:sz="4" w:space="0" w:color="auto"/>
            </w:tcBorders>
            <w:shd w:val="pct25" w:color="C0C0C0" w:fill="auto"/>
            <w:noWrap/>
            <w:vAlign w:val="center"/>
            <w:hideMark/>
          </w:tcPr>
          <w:p w14:paraId="0B1DD2B8" w14:textId="77777777" w:rsidR="006202F0" w:rsidRPr="00DD01B2" w:rsidRDefault="006202F0" w:rsidP="005E2B22">
            <w:pPr>
              <w:jc w:val="center"/>
              <w:rPr>
                <w:rFonts w:ascii="Aptos" w:hAnsi="Aptos" w:cstheme="minorHAnsi"/>
                <w:b/>
                <w:bCs/>
                <w:color w:val="800000"/>
                <w:sz w:val="21"/>
                <w:szCs w:val="21"/>
              </w:rPr>
            </w:pPr>
            <w:r w:rsidRPr="00DD01B2">
              <w:rPr>
                <w:rFonts w:ascii="Aptos" w:hAnsi="Aptos" w:cstheme="minorHAnsi"/>
                <w:b/>
                <w:bCs/>
                <w:color w:val="800000"/>
                <w:sz w:val="21"/>
                <w:szCs w:val="21"/>
              </w:rPr>
              <w:t>22</w:t>
            </w:r>
          </w:p>
        </w:tc>
        <w:tc>
          <w:tcPr>
            <w:tcW w:w="6993" w:type="dxa"/>
            <w:gridSpan w:val="11"/>
            <w:tcBorders>
              <w:top w:val="nil"/>
              <w:left w:val="nil"/>
              <w:bottom w:val="nil"/>
              <w:right w:val="nil"/>
            </w:tcBorders>
            <w:noWrap/>
            <w:vAlign w:val="center"/>
          </w:tcPr>
          <w:p w14:paraId="12299CC3" w14:textId="77777777" w:rsidR="006202F0" w:rsidRPr="00DD01B2" w:rsidRDefault="006202F0" w:rsidP="005E2B22">
            <w:pPr>
              <w:rPr>
                <w:rFonts w:ascii="Aptos" w:hAnsi="Aptos" w:cstheme="minorHAnsi"/>
                <w:b/>
                <w:bCs/>
                <w:color w:val="C0C0C0"/>
                <w:sz w:val="21"/>
                <w:szCs w:val="21"/>
              </w:rPr>
            </w:pPr>
          </w:p>
        </w:tc>
      </w:tr>
      <w:tr w:rsidR="006202F0" w:rsidRPr="00DD01B2" w14:paraId="4A8CEEAA" w14:textId="77777777" w:rsidTr="005E2B22">
        <w:trPr>
          <w:trHeight w:val="60"/>
        </w:trPr>
        <w:tc>
          <w:tcPr>
            <w:tcW w:w="1701" w:type="dxa"/>
            <w:tcBorders>
              <w:top w:val="nil"/>
              <w:left w:val="nil"/>
              <w:bottom w:val="nil"/>
              <w:right w:val="nil"/>
            </w:tcBorders>
            <w:noWrap/>
            <w:vAlign w:val="center"/>
            <w:hideMark/>
          </w:tcPr>
          <w:p w14:paraId="10DA111C" w14:textId="77777777" w:rsidR="006202F0" w:rsidRPr="00DD01B2" w:rsidRDefault="006202F0" w:rsidP="005E2B22">
            <w:pPr>
              <w:jc w:val="right"/>
              <w:rPr>
                <w:rFonts w:ascii="Aptos" w:hAnsi="Aptos" w:cstheme="minorHAnsi"/>
                <w:b/>
                <w:bCs/>
                <w:sz w:val="21"/>
                <w:szCs w:val="21"/>
              </w:rPr>
            </w:pPr>
          </w:p>
        </w:tc>
        <w:tc>
          <w:tcPr>
            <w:tcW w:w="945" w:type="dxa"/>
            <w:tcBorders>
              <w:top w:val="nil"/>
              <w:left w:val="nil"/>
              <w:bottom w:val="nil"/>
              <w:right w:val="nil"/>
            </w:tcBorders>
            <w:noWrap/>
            <w:vAlign w:val="center"/>
            <w:hideMark/>
          </w:tcPr>
          <w:p w14:paraId="18CF1EDD" w14:textId="77777777" w:rsidR="006202F0" w:rsidRPr="00DD01B2" w:rsidRDefault="006202F0" w:rsidP="005E2B22">
            <w:pPr>
              <w:rPr>
                <w:rFonts w:ascii="Aptos" w:hAnsi="Aptos" w:cstheme="minorHAnsi"/>
                <w:sz w:val="21"/>
                <w:szCs w:val="21"/>
              </w:rPr>
            </w:pPr>
          </w:p>
        </w:tc>
        <w:tc>
          <w:tcPr>
            <w:tcW w:w="615" w:type="dxa"/>
            <w:tcBorders>
              <w:top w:val="nil"/>
              <w:left w:val="nil"/>
              <w:bottom w:val="nil"/>
              <w:right w:val="nil"/>
            </w:tcBorders>
            <w:noWrap/>
            <w:vAlign w:val="center"/>
            <w:hideMark/>
          </w:tcPr>
          <w:p w14:paraId="5CDFC6E5" w14:textId="77777777" w:rsidR="006202F0" w:rsidRPr="00DD01B2" w:rsidRDefault="006202F0" w:rsidP="005E2B22">
            <w:pPr>
              <w:rPr>
                <w:rFonts w:ascii="Aptos" w:hAnsi="Aptos" w:cstheme="minorHAnsi"/>
                <w:sz w:val="21"/>
                <w:szCs w:val="21"/>
              </w:rPr>
            </w:pPr>
          </w:p>
        </w:tc>
        <w:tc>
          <w:tcPr>
            <w:tcW w:w="1360" w:type="dxa"/>
            <w:tcBorders>
              <w:top w:val="nil"/>
              <w:left w:val="nil"/>
              <w:bottom w:val="nil"/>
              <w:right w:val="nil"/>
            </w:tcBorders>
            <w:noWrap/>
            <w:vAlign w:val="center"/>
            <w:hideMark/>
          </w:tcPr>
          <w:p w14:paraId="0FDE2B64" w14:textId="77777777" w:rsidR="006202F0" w:rsidRPr="00DD01B2" w:rsidRDefault="006202F0" w:rsidP="005E2B22">
            <w:pPr>
              <w:rPr>
                <w:rFonts w:ascii="Aptos" w:hAnsi="Aptos" w:cstheme="minorHAnsi"/>
                <w:sz w:val="21"/>
                <w:szCs w:val="21"/>
              </w:rPr>
            </w:pPr>
          </w:p>
        </w:tc>
        <w:tc>
          <w:tcPr>
            <w:tcW w:w="761" w:type="dxa"/>
            <w:gridSpan w:val="2"/>
            <w:tcBorders>
              <w:top w:val="nil"/>
              <w:left w:val="nil"/>
              <w:bottom w:val="nil"/>
              <w:right w:val="nil"/>
            </w:tcBorders>
            <w:noWrap/>
            <w:vAlign w:val="center"/>
            <w:hideMark/>
          </w:tcPr>
          <w:p w14:paraId="593359E4" w14:textId="77777777" w:rsidR="006202F0" w:rsidRPr="00DD01B2" w:rsidRDefault="006202F0" w:rsidP="005E2B22">
            <w:pPr>
              <w:rPr>
                <w:rFonts w:ascii="Aptos" w:hAnsi="Aptos" w:cstheme="minorHAnsi"/>
                <w:sz w:val="21"/>
                <w:szCs w:val="21"/>
              </w:rPr>
            </w:pPr>
          </w:p>
        </w:tc>
        <w:tc>
          <w:tcPr>
            <w:tcW w:w="1139" w:type="dxa"/>
            <w:tcBorders>
              <w:top w:val="nil"/>
              <w:left w:val="nil"/>
              <w:bottom w:val="nil"/>
              <w:right w:val="nil"/>
            </w:tcBorders>
            <w:noWrap/>
            <w:vAlign w:val="center"/>
            <w:hideMark/>
          </w:tcPr>
          <w:p w14:paraId="220C735F" w14:textId="77777777" w:rsidR="006202F0" w:rsidRPr="00DD01B2" w:rsidRDefault="006202F0" w:rsidP="005E2B22">
            <w:pPr>
              <w:rPr>
                <w:rFonts w:ascii="Aptos" w:hAnsi="Aptos" w:cstheme="minorHAnsi"/>
                <w:sz w:val="21"/>
                <w:szCs w:val="21"/>
              </w:rPr>
            </w:pPr>
          </w:p>
        </w:tc>
        <w:tc>
          <w:tcPr>
            <w:tcW w:w="850" w:type="dxa"/>
            <w:tcBorders>
              <w:top w:val="nil"/>
              <w:left w:val="nil"/>
              <w:bottom w:val="nil"/>
              <w:right w:val="nil"/>
            </w:tcBorders>
            <w:noWrap/>
            <w:vAlign w:val="center"/>
            <w:hideMark/>
          </w:tcPr>
          <w:p w14:paraId="52B2BA6F"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2DA713A2"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7DA9097C" w14:textId="77777777" w:rsidR="006202F0" w:rsidRPr="00DD01B2" w:rsidRDefault="006202F0" w:rsidP="005E2B22">
            <w:pPr>
              <w:rPr>
                <w:rFonts w:ascii="Aptos" w:hAnsi="Aptos" w:cstheme="minorHAnsi"/>
                <w:sz w:val="21"/>
                <w:szCs w:val="21"/>
              </w:rPr>
            </w:pPr>
          </w:p>
        </w:tc>
        <w:tc>
          <w:tcPr>
            <w:tcW w:w="919" w:type="dxa"/>
            <w:gridSpan w:val="2"/>
            <w:tcBorders>
              <w:top w:val="nil"/>
              <w:left w:val="nil"/>
              <w:bottom w:val="nil"/>
              <w:right w:val="nil"/>
            </w:tcBorders>
            <w:noWrap/>
            <w:vAlign w:val="center"/>
            <w:hideMark/>
          </w:tcPr>
          <w:p w14:paraId="58DDDFDE" w14:textId="77777777" w:rsidR="006202F0" w:rsidRPr="00DD01B2" w:rsidRDefault="006202F0" w:rsidP="005E2B22">
            <w:pPr>
              <w:rPr>
                <w:rFonts w:ascii="Aptos" w:hAnsi="Aptos" w:cstheme="minorHAnsi"/>
                <w:sz w:val="21"/>
                <w:szCs w:val="21"/>
              </w:rPr>
            </w:pPr>
          </w:p>
        </w:tc>
        <w:tc>
          <w:tcPr>
            <w:tcW w:w="830" w:type="dxa"/>
            <w:tcBorders>
              <w:top w:val="nil"/>
              <w:left w:val="nil"/>
              <w:bottom w:val="nil"/>
              <w:right w:val="nil"/>
            </w:tcBorders>
            <w:noWrap/>
            <w:vAlign w:val="center"/>
            <w:hideMark/>
          </w:tcPr>
          <w:p w14:paraId="52E2315F" w14:textId="77777777" w:rsidR="006202F0" w:rsidRPr="00DD01B2" w:rsidRDefault="006202F0" w:rsidP="005E2B22">
            <w:pPr>
              <w:rPr>
                <w:rFonts w:ascii="Aptos" w:hAnsi="Aptos" w:cstheme="minorHAnsi"/>
                <w:sz w:val="21"/>
                <w:szCs w:val="21"/>
              </w:rPr>
            </w:pPr>
          </w:p>
        </w:tc>
      </w:tr>
      <w:tr w:rsidR="006202F0" w:rsidRPr="00DD01B2" w14:paraId="7DAD9C40" w14:textId="77777777" w:rsidTr="005E2B22">
        <w:trPr>
          <w:trHeight w:val="60"/>
        </w:trPr>
        <w:tc>
          <w:tcPr>
            <w:tcW w:w="1701" w:type="dxa"/>
            <w:tcBorders>
              <w:top w:val="nil"/>
              <w:left w:val="nil"/>
              <w:bottom w:val="nil"/>
              <w:right w:val="nil"/>
            </w:tcBorders>
            <w:noWrap/>
            <w:vAlign w:val="center"/>
            <w:hideMark/>
          </w:tcPr>
          <w:p w14:paraId="1BACD1D7" w14:textId="77777777" w:rsidR="006202F0" w:rsidRPr="00DD01B2" w:rsidRDefault="006202F0" w:rsidP="005E2B22">
            <w:pPr>
              <w:jc w:val="right"/>
              <w:rPr>
                <w:rFonts w:ascii="Aptos" w:hAnsi="Aptos" w:cstheme="minorHAnsi"/>
                <w:b/>
                <w:bCs/>
                <w:sz w:val="21"/>
                <w:szCs w:val="21"/>
              </w:rPr>
            </w:pPr>
          </w:p>
        </w:tc>
        <w:tc>
          <w:tcPr>
            <w:tcW w:w="945" w:type="dxa"/>
            <w:tcBorders>
              <w:top w:val="nil"/>
              <w:left w:val="nil"/>
              <w:bottom w:val="nil"/>
              <w:right w:val="nil"/>
            </w:tcBorders>
            <w:noWrap/>
            <w:vAlign w:val="center"/>
            <w:hideMark/>
          </w:tcPr>
          <w:p w14:paraId="4FFAF607" w14:textId="77777777" w:rsidR="006202F0" w:rsidRPr="00DD01B2" w:rsidRDefault="006202F0" w:rsidP="005E2B22">
            <w:pPr>
              <w:rPr>
                <w:rFonts w:ascii="Aptos" w:hAnsi="Aptos" w:cstheme="minorHAnsi"/>
                <w:sz w:val="21"/>
                <w:szCs w:val="21"/>
              </w:rPr>
            </w:pPr>
          </w:p>
        </w:tc>
        <w:tc>
          <w:tcPr>
            <w:tcW w:w="615" w:type="dxa"/>
            <w:tcBorders>
              <w:top w:val="nil"/>
              <w:left w:val="nil"/>
              <w:bottom w:val="nil"/>
              <w:right w:val="nil"/>
            </w:tcBorders>
            <w:noWrap/>
            <w:vAlign w:val="center"/>
            <w:hideMark/>
          </w:tcPr>
          <w:p w14:paraId="69BD4AF9" w14:textId="77777777" w:rsidR="006202F0" w:rsidRPr="00DD01B2" w:rsidRDefault="006202F0" w:rsidP="005E2B22">
            <w:pPr>
              <w:rPr>
                <w:rFonts w:ascii="Aptos" w:hAnsi="Aptos" w:cstheme="minorHAnsi"/>
                <w:sz w:val="21"/>
                <w:szCs w:val="21"/>
              </w:rPr>
            </w:pPr>
          </w:p>
        </w:tc>
        <w:tc>
          <w:tcPr>
            <w:tcW w:w="1360" w:type="dxa"/>
            <w:tcBorders>
              <w:top w:val="nil"/>
              <w:left w:val="nil"/>
              <w:bottom w:val="nil"/>
              <w:right w:val="nil"/>
            </w:tcBorders>
            <w:noWrap/>
            <w:vAlign w:val="center"/>
            <w:hideMark/>
          </w:tcPr>
          <w:p w14:paraId="1DF229E5" w14:textId="77777777" w:rsidR="006202F0" w:rsidRPr="00DD01B2" w:rsidRDefault="006202F0" w:rsidP="005E2B22">
            <w:pPr>
              <w:rPr>
                <w:rFonts w:ascii="Aptos" w:hAnsi="Aptos" w:cstheme="minorHAnsi"/>
                <w:sz w:val="21"/>
                <w:szCs w:val="21"/>
              </w:rPr>
            </w:pPr>
          </w:p>
        </w:tc>
        <w:tc>
          <w:tcPr>
            <w:tcW w:w="761" w:type="dxa"/>
            <w:gridSpan w:val="2"/>
            <w:tcBorders>
              <w:top w:val="nil"/>
              <w:left w:val="nil"/>
              <w:bottom w:val="nil"/>
              <w:right w:val="nil"/>
            </w:tcBorders>
            <w:noWrap/>
            <w:vAlign w:val="center"/>
            <w:hideMark/>
          </w:tcPr>
          <w:p w14:paraId="6E3DFE32" w14:textId="77777777" w:rsidR="006202F0" w:rsidRPr="00DD01B2" w:rsidRDefault="006202F0" w:rsidP="005E2B22">
            <w:pPr>
              <w:rPr>
                <w:rFonts w:ascii="Aptos" w:hAnsi="Aptos" w:cstheme="minorHAnsi"/>
                <w:sz w:val="21"/>
                <w:szCs w:val="21"/>
              </w:rPr>
            </w:pPr>
          </w:p>
        </w:tc>
        <w:tc>
          <w:tcPr>
            <w:tcW w:w="1139" w:type="dxa"/>
            <w:tcBorders>
              <w:top w:val="nil"/>
              <w:left w:val="nil"/>
              <w:bottom w:val="nil"/>
              <w:right w:val="nil"/>
            </w:tcBorders>
            <w:noWrap/>
            <w:vAlign w:val="center"/>
            <w:hideMark/>
          </w:tcPr>
          <w:p w14:paraId="5B4DB35B" w14:textId="77777777" w:rsidR="006202F0" w:rsidRPr="00DD01B2" w:rsidRDefault="006202F0" w:rsidP="005E2B22">
            <w:pPr>
              <w:rPr>
                <w:rFonts w:ascii="Aptos" w:hAnsi="Aptos" w:cstheme="minorHAnsi"/>
                <w:sz w:val="21"/>
                <w:szCs w:val="21"/>
              </w:rPr>
            </w:pPr>
          </w:p>
        </w:tc>
        <w:tc>
          <w:tcPr>
            <w:tcW w:w="850" w:type="dxa"/>
            <w:tcBorders>
              <w:top w:val="nil"/>
              <w:left w:val="nil"/>
              <w:bottom w:val="nil"/>
              <w:right w:val="nil"/>
            </w:tcBorders>
            <w:noWrap/>
            <w:vAlign w:val="center"/>
            <w:hideMark/>
          </w:tcPr>
          <w:p w14:paraId="4EE6992D" w14:textId="77777777" w:rsidR="006202F0" w:rsidRPr="00DD01B2" w:rsidRDefault="006202F0" w:rsidP="005E2B22">
            <w:pPr>
              <w:rPr>
                <w:rFonts w:ascii="Aptos" w:hAnsi="Aptos" w:cstheme="minorHAnsi"/>
                <w:sz w:val="21"/>
                <w:szCs w:val="21"/>
              </w:rPr>
            </w:pPr>
          </w:p>
        </w:tc>
        <w:tc>
          <w:tcPr>
            <w:tcW w:w="236" w:type="dxa"/>
            <w:tcBorders>
              <w:top w:val="nil"/>
              <w:left w:val="nil"/>
              <w:bottom w:val="nil"/>
              <w:right w:val="nil"/>
            </w:tcBorders>
            <w:noWrap/>
            <w:vAlign w:val="center"/>
            <w:hideMark/>
          </w:tcPr>
          <w:p w14:paraId="7F8F3B7F" w14:textId="77777777" w:rsidR="006202F0" w:rsidRPr="00DD01B2" w:rsidRDefault="006202F0" w:rsidP="005E2B22">
            <w:pPr>
              <w:rPr>
                <w:rFonts w:ascii="Aptos" w:hAnsi="Aptos" w:cstheme="minorHAnsi"/>
                <w:sz w:val="21"/>
                <w:szCs w:val="21"/>
              </w:rPr>
            </w:pPr>
          </w:p>
        </w:tc>
        <w:tc>
          <w:tcPr>
            <w:tcW w:w="283" w:type="dxa"/>
            <w:tcBorders>
              <w:top w:val="nil"/>
              <w:left w:val="nil"/>
              <w:bottom w:val="nil"/>
              <w:right w:val="nil"/>
            </w:tcBorders>
            <w:noWrap/>
            <w:vAlign w:val="center"/>
            <w:hideMark/>
          </w:tcPr>
          <w:p w14:paraId="34EA6369" w14:textId="77777777" w:rsidR="006202F0" w:rsidRPr="00DD01B2" w:rsidRDefault="006202F0" w:rsidP="005E2B22">
            <w:pPr>
              <w:rPr>
                <w:rFonts w:ascii="Aptos" w:hAnsi="Aptos" w:cstheme="minorHAnsi"/>
                <w:sz w:val="21"/>
                <w:szCs w:val="21"/>
              </w:rPr>
            </w:pPr>
          </w:p>
        </w:tc>
        <w:tc>
          <w:tcPr>
            <w:tcW w:w="919" w:type="dxa"/>
            <w:gridSpan w:val="2"/>
            <w:tcBorders>
              <w:top w:val="nil"/>
              <w:left w:val="nil"/>
              <w:bottom w:val="nil"/>
              <w:right w:val="nil"/>
            </w:tcBorders>
            <w:noWrap/>
            <w:vAlign w:val="center"/>
            <w:hideMark/>
          </w:tcPr>
          <w:p w14:paraId="1EF478C1" w14:textId="77777777" w:rsidR="006202F0" w:rsidRPr="00DD01B2" w:rsidRDefault="006202F0" w:rsidP="005E2B22">
            <w:pPr>
              <w:rPr>
                <w:rFonts w:ascii="Aptos" w:hAnsi="Aptos" w:cstheme="minorHAnsi"/>
                <w:sz w:val="21"/>
                <w:szCs w:val="21"/>
              </w:rPr>
            </w:pPr>
          </w:p>
        </w:tc>
        <w:tc>
          <w:tcPr>
            <w:tcW w:w="830" w:type="dxa"/>
            <w:tcBorders>
              <w:top w:val="nil"/>
              <w:left w:val="nil"/>
              <w:bottom w:val="nil"/>
              <w:right w:val="nil"/>
            </w:tcBorders>
            <w:noWrap/>
            <w:vAlign w:val="center"/>
            <w:hideMark/>
          </w:tcPr>
          <w:p w14:paraId="23C95424" w14:textId="77777777" w:rsidR="006202F0" w:rsidRPr="00DD01B2" w:rsidRDefault="006202F0" w:rsidP="005E2B22">
            <w:pPr>
              <w:rPr>
                <w:rFonts w:ascii="Aptos" w:hAnsi="Aptos" w:cstheme="minorHAnsi"/>
                <w:sz w:val="21"/>
                <w:szCs w:val="21"/>
              </w:rPr>
            </w:pPr>
          </w:p>
        </w:tc>
      </w:tr>
    </w:tbl>
    <w:p w14:paraId="0A91A6F5" w14:textId="5A961929" w:rsidR="006202F0" w:rsidRPr="00DD01B2" w:rsidRDefault="006202F0" w:rsidP="00604FDB">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Na temelju članka 14. Pravilnika o financijskom izvještavanju u proračunskom računovodstvu  (Narodne novine broj  37/22</w:t>
      </w:r>
      <w:r w:rsidR="008C15FB" w:rsidRPr="00DD01B2">
        <w:rPr>
          <w:rFonts w:ascii="Aptos" w:hAnsi="Aptos" w:cstheme="minorHAnsi"/>
          <w:sz w:val="21"/>
          <w:szCs w:val="21"/>
        </w:rPr>
        <w:t xml:space="preserve">, 52/25, 156/25) </w:t>
      </w:r>
      <w:r w:rsidRPr="00DD01B2">
        <w:rPr>
          <w:rFonts w:ascii="Aptos" w:hAnsi="Aptos" w:cstheme="minorHAnsi"/>
          <w:sz w:val="21"/>
          <w:szCs w:val="21"/>
        </w:rPr>
        <w:t xml:space="preserve">financijski izvještaji Grada Bakra za  razdoblje od 01. siječnja do </w:t>
      </w:r>
      <w:r w:rsidR="0067630F" w:rsidRPr="00DD01B2">
        <w:rPr>
          <w:rFonts w:ascii="Aptos" w:hAnsi="Aptos" w:cstheme="minorHAnsi"/>
          <w:sz w:val="21"/>
          <w:szCs w:val="21"/>
        </w:rPr>
        <w:t>31. prosinca</w:t>
      </w:r>
      <w:r w:rsidRPr="00DD01B2">
        <w:rPr>
          <w:rFonts w:ascii="Aptos" w:hAnsi="Aptos" w:cstheme="minorHAnsi"/>
          <w:sz w:val="21"/>
          <w:szCs w:val="21"/>
        </w:rPr>
        <w:t xml:space="preserve"> 202</w:t>
      </w:r>
      <w:r w:rsidR="008C15FB" w:rsidRPr="00DD01B2">
        <w:rPr>
          <w:rFonts w:ascii="Aptos" w:hAnsi="Aptos" w:cstheme="minorHAnsi"/>
          <w:sz w:val="21"/>
          <w:szCs w:val="21"/>
        </w:rPr>
        <w:t>5</w:t>
      </w:r>
      <w:r w:rsidRPr="00DD01B2">
        <w:rPr>
          <w:rFonts w:ascii="Aptos" w:hAnsi="Aptos" w:cstheme="minorHAnsi"/>
          <w:sz w:val="21"/>
          <w:szCs w:val="21"/>
        </w:rPr>
        <w:t>. godine dopunjuju se bilješkama kako slijedi:</w:t>
      </w:r>
    </w:p>
    <w:p w14:paraId="536B4274" w14:textId="5958A456" w:rsidR="0085328F" w:rsidRPr="00DD01B2" w:rsidRDefault="0085328F" w:rsidP="00C54F0E">
      <w:pPr>
        <w:shd w:val="clear" w:color="auto" w:fill="D9D9D9" w:themeFill="background1" w:themeFillShade="D9"/>
        <w:spacing w:before="60" w:after="60"/>
        <w:ind w:left="-425" w:right="-380"/>
        <w:jc w:val="both"/>
        <w:rPr>
          <w:rFonts w:ascii="Aptos" w:hAnsi="Aptos" w:cstheme="minorHAnsi"/>
          <w:b/>
          <w:sz w:val="21"/>
          <w:szCs w:val="21"/>
        </w:rPr>
      </w:pPr>
      <w:r w:rsidRPr="00DD01B2">
        <w:rPr>
          <w:rFonts w:ascii="Aptos" w:hAnsi="Aptos" w:cstheme="minorHAnsi"/>
          <w:b/>
          <w:sz w:val="21"/>
          <w:szCs w:val="21"/>
        </w:rPr>
        <w:t xml:space="preserve">A/  BILJEŠKE UZ IZVJEŠTAJ O PRIHODIMA, RASHODIMA, PRIMICIMA I IZDACIMA </w:t>
      </w:r>
    </w:p>
    <w:p w14:paraId="4D216022" w14:textId="77777777" w:rsidR="008C15FB" w:rsidRPr="00DD01B2" w:rsidRDefault="008C15FB" w:rsidP="008C15FB">
      <w:pPr>
        <w:pBdr>
          <w:top w:val="single" w:sz="4" w:space="1" w:color="auto"/>
          <w:left w:val="single" w:sz="4" w:space="0" w:color="auto"/>
          <w:bottom w:val="single" w:sz="4" w:space="1" w:color="auto"/>
          <w:right w:val="single" w:sz="4" w:space="19" w:color="auto"/>
        </w:pBdr>
        <w:spacing w:before="120" w:after="60"/>
        <w:ind w:left="-425"/>
        <w:jc w:val="center"/>
        <w:rPr>
          <w:rFonts w:ascii="Aptos" w:hAnsi="Aptos" w:cstheme="minorHAnsi"/>
          <w:b/>
          <w:sz w:val="21"/>
          <w:szCs w:val="21"/>
        </w:rPr>
      </w:pPr>
      <w:r w:rsidRPr="00DD01B2">
        <w:rPr>
          <w:rFonts w:ascii="Aptos" w:hAnsi="Aptos" w:cstheme="minorHAnsi"/>
          <w:b/>
          <w:sz w:val="21"/>
          <w:szCs w:val="21"/>
        </w:rPr>
        <w:t>UVODNA BILJEŠKA</w:t>
      </w:r>
    </w:p>
    <w:p w14:paraId="1471E381" w14:textId="085E0633" w:rsidR="008C15FB" w:rsidRPr="00DD01B2" w:rsidRDefault="008C15FB" w:rsidP="008C15FB">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U razdoblju od 01. siječnja do 31. prosinca 2025. godine prihodi poslovanja ostvareni su u iznosu od 14.094.324,03 €, pri čemu se najznačajnije povećanje prihoda poslovanja u odnosu na prošlu godinu odnosi na ostvarene prihode od komunalnog doprinosa i komunalne naknade</w:t>
      </w:r>
      <w:r w:rsidR="00871493" w:rsidRPr="00DD01B2">
        <w:rPr>
          <w:rFonts w:ascii="Aptos" w:hAnsi="Aptos" w:cstheme="minorHAnsi"/>
          <w:sz w:val="21"/>
          <w:szCs w:val="21"/>
        </w:rPr>
        <w:t xml:space="preserve"> (šifra 653)</w:t>
      </w:r>
      <w:r w:rsidRPr="00DD01B2">
        <w:rPr>
          <w:rFonts w:ascii="Aptos" w:hAnsi="Aptos" w:cstheme="minorHAnsi"/>
          <w:sz w:val="21"/>
          <w:szCs w:val="21"/>
        </w:rPr>
        <w:t>, kao posljedica veće gospodarske aktivnosti, kontinuiranih ulaganja i izgradnje novih poslovnih objekata i porasta broja gospodarskih subjekata na području Industrijske zone Kukuljanovo. Najznačajnije smanjenje prihoda poslovanja evidentno je kod pomoći proračunu i izvanproračunskim korisnicima iz drugih proračuna</w:t>
      </w:r>
      <w:r w:rsidR="00871493" w:rsidRPr="00DD01B2">
        <w:rPr>
          <w:rFonts w:ascii="Aptos" w:hAnsi="Aptos" w:cstheme="minorHAnsi"/>
          <w:sz w:val="21"/>
          <w:szCs w:val="21"/>
        </w:rPr>
        <w:t xml:space="preserve"> (šifra 633)</w:t>
      </w:r>
      <w:r w:rsidRPr="00DD01B2">
        <w:rPr>
          <w:rFonts w:ascii="Aptos" w:hAnsi="Aptos" w:cstheme="minorHAnsi"/>
          <w:sz w:val="21"/>
          <w:szCs w:val="21"/>
        </w:rPr>
        <w:t>.</w:t>
      </w:r>
    </w:p>
    <w:p w14:paraId="70317599" w14:textId="2D178466" w:rsidR="008C15FB" w:rsidRPr="00DD01B2" w:rsidRDefault="008C15FB" w:rsidP="007C0518">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Rashodi poslovanja u razdoblju od 01. siječnja do 3</w:t>
      </w:r>
      <w:r w:rsidR="00871493" w:rsidRPr="00DD01B2">
        <w:rPr>
          <w:rFonts w:ascii="Aptos" w:hAnsi="Aptos" w:cstheme="minorHAnsi"/>
          <w:sz w:val="21"/>
          <w:szCs w:val="21"/>
        </w:rPr>
        <w:t>1</w:t>
      </w:r>
      <w:r w:rsidRPr="00DD01B2">
        <w:rPr>
          <w:rFonts w:ascii="Aptos" w:hAnsi="Aptos" w:cstheme="minorHAnsi"/>
          <w:sz w:val="21"/>
          <w:szCs w:val="21"/>
        </w:rPr>
        <w:t xml:space="preserve">. </w:t>
      </w:r>
      <w:r w:rsidR="00871493" w:rsidRPr="00DD01B2">
        <w:rPr>
          <w:rFonts w:ascii="Aptos" w:hAnsi="Aptos" w:cstheme="minorHAnsi"/>
          <w:sz w:val="21"/>
          <w:szCs w:val="21"/>
        </w:rPr>
        <w:t>prosinca</w:t>
      </w:r>
      <w:r w:rsidRPr="00DD01B2">
        <w:rPr>
          <w:rFonts w:ascii="Aptos" w:hAnsi="Aptos" w:cstheme="minorHAnsi"/>
          <w:sz w:val="21"/>
          <w:szCs w:val="21"/>
        </w:rPr>
        <w:t xml:space="preserve"> 2025. godine ostvareni su u iznosu od </w:t>
      </w:r>
      <w:r w:rsidR="007C0518" w:rsidRPr="00DD01B2">
        <w:rPr>
          <w:rFonts w:ascii="Aptos" w:hAnsi="Aptos" w:cstheme="minorHAnsi"/>
          <w:sz w:val="21"/>
          <w:szCs w:val="21"/>
        </w:rPr>
        <w:t>9.04</w:t>
      </w:r>
      <w:r w:rsidR="008217E8">
        <w:rPr>
          <w:rFonts w:ascii="Aptos" w:hAnsi="Aptos" w:cstheme="minorHAnsi"/>
          <w:sz w:val="21"/>
          <w:szCs w:val="21"/>
        </w:rPr>
        <w:t>4</w:t>
      </w:r>
      <w:r w:rsidR="007C0518" w:rsidRPr="00DD01B2">
        <w:rPr>
          <w:rFonts w:ascii="Aptos" w:hAnsi="Aptos" w:cstheme="minorHAnsi"/>
          <w:sz w:val="21"/>
          <w:szCs w:val="21"/>
        </w:rPr>
        <w:t>.</w:t>
      </w:r>
      <w:r w:rsidR="008217E8">
        <w:rPr>
          <w:rFonts w:ascii="Aptos" w:hAnsi="Aptos" w:cstheme="minorHAnsi"/>
          <w:sz w:val="21"/>
          <w:szCs w:val="21"/>
        </w:rPr>
        <w:t>498</w:t>
      </w:r>
      <w:r w:rsidR="007C0518" w:rsidRPr="00DD01B2">
        <w:rPr>
          <w:rFonts w:ascii="Aptos" w:hAnsi="Aptos" w:cstheme="minorHAnsi"/>
          <w:sz w:val="21"/>
          <w:szCs w:val="21"/>
        </w:rPr>
        <w:t>,71</w:t>
      </w:r>
      <w:r w:rsidRPr="00DD01B2">
        <w:rPr>
          <w:rFonts w:ascii="Aptos" w:hAnsi="Aptos" w:cstheme="minorHAnsi"/>
          <w:sz w:val="21"/>
          <w:szCs w:val="21"/>
        </w:rPr>
        <w:t xml:space="preserve"> €. Najznačajnije povećanje rashoda poslovanja evidentirano je na</w:t>
      </w:r>
      <w:r w:rsidR="007C0518" w:rsidRPr="00DD01B2">
        <w:rPr>
          <w:rFonts w:ascii="Aptos" w:hAnsi="Aptos" w:cstheme="minorHAnsi"/>
          <w:sz w:val="21"/>
          <w:szCs w:val="21"/>
        </w:rPr>
        <w:t xml:space="preserve"> </w:t>
      </w:r>
      <w:r w:rsidRPr="00DD01B2">
        <w:rPr>
          <w:rFonts w:ascii="Aptos" w:hAnsi="Aptos" w:cstheme="minorHAnsi"/>
          <w:sz w:val="21"/>
          <w:szCs w:val="21"/>
        </w:rPr>
        <w:t xml:space="preserve">rashodima za pomoći dane unutar općeg proračuna radi povećanja troškova produženog boravka u osnovnim školama, usluga upravljanja </w:t>
      </w:r>
      <w:proofErr w:type="spellStart"/>
      <w:r w:rsidRPr="00DD01B2">
        <w:rPr>
          <w:rFonts w:ascii="Aptos" w:hAnsi="Aptos" w:cstheme="minorHAnsi"/>
          <w:sz w:val="21"/>
          <w:szCs w:val="21"/>
        </w:rPr>
        <w:t>sortirnicom</w:t>
      </w:r>
      <w:proofErr w:type="spellEnd"/>
      <w:r w:rsidRPr="00DD01B2">
        <w:rPr>
          <w:rFonts w:ascii="Aptos" w:hAnsi="Aptos" w:cstheme="minorHAnsi"/>
          <w:sz w:val="21"/>
          <w:szCs w:val="21"/>
        </w:rPr>
        <w:t xml:space="preserve"> </w:t>
      </w:r>
      <w:proofErr w:type="spellStart"/>
      <w:r w:rsidRPr="00DD01B2">
        <w:rPr>
          <w:rFonts w:ascii="Aptos" w:hAnsi="Aptos" w:cstheme="minorHAnsi"/>
          <w:sz w:val="21"/>
          <w:szCs w:val="21"/>
        </w:rPr>
        <w:t>Mihačeva</w:t>
      </w:r>
      <w:proofErr w:type="spellEnd"/>
      <w:r w:rsidRPr="00DD01B2">
        <w:rPr>
          <w:rFonts w:ascii="Aptos" w:hAnsi="Aptos" w:cstheme="minorHAnsi"/>
          <w:sz w:val="21"/>
          <w:szCs w:val="21"/>
        </w:rPr>
        <w:t xml:space="preserve"> Draga, evidentiranih pomoći Hrvatskim vodama temeljem ugovora o sufinanciranju za NPOO projekt izgradnje komunalne infrastrukture na području pod nadležnošću KD VIK Rijeka, kao i povećanja troškova financiranja redovne djelatnosti proračunskih korisnika Grada Bakra. Najznačajnije smanjenje rashoda poslovanja odnosi se na financijske rashode, a obzirom da su u istom izvještajnom razdoblju prošle godine na računima financijskih rashoda evidentirani rashodi za kamate na poduzetničke kredite, dok su u 2025. godini isti iskazani na računu subvencija.</w:t>
      </w:r>
    </w:p>
    <w:p w14:paraId="34794F17" w14:textId="6310B58F" w:rsidR="008C15FB" w:rsidRPr="00DD01B2" w:rsidRDefault="008C15FB" w:rsidP="008C15FB">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U navedenom razdoblju ostvarenje prihoda od prodaje nefinancijske imovine iznosi </w:t>
      </w:r>
      <w:r w:rsidR="00B13ADC" w:rsidRPr="00DD01B2">
        <w:rPr>
          <w:rFonts w:ascii="Aptos" w:hAnsi="Aptos" w:cstheme="minorHAnsi"/>
          <w:sz w:val="21"/>
          <w:szCs w:val="21"/>
        </w:rPr>
        <w:t>280.163,04</w:t>
      </w:r>
      <w:r w:rsidRPr="00DD01B2">
        <w:rPr>
          <w:rFonts w:ascii="Aptos" w:hAnsi="Aptos" w:cstheme="minorHAnsi"/>
          <w:sz w:val="21"/>
          <w:szCs w:val="21"/>
        </w:rPr>
        <w:t xml:space="preserve"> €, što je znatno više nego u istom razdoblju prošle godine, a navedeno ostvarenje obuhvaća prihode od prodaje zemljišta u vlasništvu Grada Bakra od </w:t>
      </w:r>
      <w:r w:rsidR="00B13ADC" w:rsidRPr="00DD01B2">
        <w:rPr>
          <w:rFonts w:ascii="Aptos" w:hAnsi="Aptos" w:cstheme="minorHAnsi"/>
          <w:sz w:val="21"/>
          <w:szCs w:val="21"/>
        </w:rPr>
        <w:t>279.948,23</w:t>
      </w:r>
      <w:r w:rsidRPr="00DD01B2">
        <w:rPr>
          <w:rFonts w:ascii="Aptos" w:hAnsi="Aptos" w:cstheme="minorHAnsi"/>
          <w:sz w:val="21"/>
          <w:szCs w:val="21"/>
        </w:rPr>
        <w:t xml:space="preserve"> €, kao i naplaćene mjesečne anuitete po otplatama kredita građana koji su od Grada Bakra kupili stanove iz razdoblja 1996 - 1998. godine u iznosu od 2</w:t>
      </w:r>
      <w:r w:rsidR="00B13ADC" w:rsidRPr="00DD01B2">
        <w:rPr>
          <w:rFonts w:ascii="Aptos" w:hAnsi="Aptos" w:cstheme="minorHAnsi"/>
          <w:sz w:val="21"/>
          <w:szCs w:val="21"/>
        </w:rPr>
        <w:t>14</w:t>
      </w:r>
      <w:r w:rsidRPr="00DD01B2">
        <w:rPr>
          <w:rFonts w:ascii="Aptos" w:hAnsi="Aptos" w:cstheme="minorHAnsi"/>
          <w:sz w:val="21"/>
          <w:szCs w:val="21"/>
        </w:rPr>
        <w:t>,</w:t>
      </w:r>
      <w:r w:rsidR="00B13ADC" w:rsidRPr="00DD01B2">
        <w:rPr>
          <w:rFonts w:ascii="Aptos" w:hAnsi="Aptos" w:cstheme="minorHAnsi"/>
          <w:sz w:val="21"/>
          <w:szCs w:val="21"/>
        </w:rPr>
        <w:t>81</w:t>
      </w:r>
      <w:r w:rsidRPr="00DD01B2">
        <w:rPr>
          <w:rFonts w:ascii="Aptos" w:hAnsi="Aptos" w:cstheme="minorHAnsi"/>
          <w:sz w:val="21"/>
          <w:szCs w:val="21"/>
        </w:rPr>
        <w:t xml:space="preserve"> €.</w:t>
      </w:r>
    </w:p>
    <w:p w14:paraId="2CDBFD66" w14:textId="088E435C" w:rsidR="008C15FB" w:rsidRPr="00DD01B2" w:rsidRDefault="008C15FB" w:rsidP="00D52C3F">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Rashodi za nabavu nefinancijske imovine ostvareni su u iznosu od </w:t>
      </w:r>
      <w:r w:rsidR="00B13ADC" w:rsidRPr="00DD01B2">
        <w:rPr>
          <w:rFonts w:ascii="Aptos" w:hAnsi="Aptos" w:cstheme="minorHAnsi"/>
          <w:sz w:val="21"/>
          <w:szCs w:val="21"/>
        </w:rPr>
        <w:t>4.15</w:t>
      </w:r>
      <w:r w:rsidR="008217E8">
        <w:rPr>
          <w:rFonts w:ascii="Aptos" w:hAnsi="Aptos" w:cstheme="minorHAnsi"/>
          <w:sz w:val="21"/>
          <w:szCs w:val="21"/>
        </w:rPr>
        <w:t>3</w:t>
      </w:r>
      <w:r w:rsidR="00B13ADC" w:rsidRPr="00DD01B2">
        <w:rPr>
          <w:rFonts w:ascii="Aptos" w:hAnsi="Aptos" w:cstheme="minorHAnsi"/>
          <w:sz w:val="21"/>
          <w:szCs w:val="21"/>
        </w:rPr>
        <w:t>.</w:t>
      </w:r>
      <w:r w:rsidR="008217E8">
        <w:rPr>
          <w:rFonts w:ascii="Aptos" w:hAnsi="Aptos" w:cstheme="minorHAnsi"/>
          <w:sz w:val="21"/>
          <w:szCs w:val="21"/>
        </w:rPr>
        <w:t>37</w:t>
      </w:r>
      <w:r w:rsidR="00B13ADC" w:rsidRPr="00DD01B2">
        <w:rPr>
          <w:rFonts w:ascii="Aptos" w:hAnsi="Aptos" w:cstheme="minorHAnsi"/>
          <w:sz w:val="21"/>
          <w:szCs w:val="21"/>
        </w:rPr>
        <w:t>3,85</w:t>
      </w:r>
      <w:r w:rsidRPr="00DD01B2">
        <w:rPr>
          <w:rFonts w:ascii="Aptos" w:hAnsi="Aptos" w:cstheme="minorHAnsi"/>
          <w:sz w:val="21"/>
          <w:szCs w:val="21"/>
        </w:rPr>
        <w:t xml:space="preserve"> €, pri čemu je najznačajnije povećanje evidentno </w:t>
      </w:r>
      <w:r w:rsidR="00B13ADC" w:rsidRPr="00DD01B2">
        <w:rPr>
          <w:rFonts w:ascii="Aptos" w:hAnsi="Aptos" w:cstheme="minorHAnsi"/>
          <w:sz w:val="21"/>
          <w:szCs w:val="21"/>
        </w:rPr>
        <w:t xml:space="preserve">kod rashoda za izvlaštenje i kupnju zemljišta radi izgradnje dječjeg </w:t>
      </w:r>
      <w:r w:rsidR="00D52C3F" w:rsidRPr="00DD01B2">
        <w:rPr>
          <w:rFonts w:ascii="Aptos" w:hAnsi="Aptos" w:cstheme="minorHAnsi"/>
          <w:sz w:val="21"/>
          <w:szCs w:val="21"/>
        </w:rPr>
        <w:t xml:space="preserve">vrtića Kukuljanovo te </w:t>
      </w:r>
      <w:r w:rsidR="00B13ADC" w:rsidRPr="00DD01B2">
        <w:rPr>
          <w:rFonts w:ascii="Aptos" w:hAnsi="Aptos" w:cstheme="minorHAnsi"/>
          <w:sz w:val="21"/>
          <w:szCs w:val="21"/>
        </w:rPr>
        <w:t>komunalne i ostale infrastrukture</w:t>
      </w:r>
      <w:r w:rsidR="00D52C3F" w:rsidRPr="00DD01B2">
        <w:rPr>
          <w:rFonts w:ascii="Aptos" w:hAnsi="Aptos" w:cstheme="minorHAnsi"/>
          <w:sz w:val="21"/>
          <w:szCs w:val="21"/>
        </w:rPr>
        <w:t xml:space="preserve">, dok se najznačajnije smanjenje odnosi na </w:t>
      </w:r>
      <w:r w:rsidRPr="00DD01B2">
        <w:rPr>
          <w:rFonts w:ascii="Aptos" w:hAnsi="Aptos" w:cstheme="minorHAnsi"/>
          <w:sz w:val="21"/>
          <w:szCs w:val="21"/>
        </w:rPr>
        <w:t>rashod</w:t>
      </w:r>
      <w:r w:rsidR="00D52C3F" w:rsidRPr="00DD01B2">
        <w:rPr>
          <w:rFonts w:ascii="Aptos" w:hAnsi="Aptos" w:cstheme="minorHAnsi"/>
          <w:sz w:val="21"/>
          <w:szCs w:val="21"/>
        </w:rPr>
        <w:t>e</w:t>
      </w:r>
      <w:r w:rsidRPr="00DD01B2">
        <w:rPr>
          <w:rFonts w:ascii="Aptos" w:hAnsi="Aptos" w:cstheme="minorHAnsi"/>
          <w:sz w:val="21"/>
          <w:szCs w:val="21"/>
        </w:rPr>
        <w:t xml:space="preserve"> za </w:t>
      </w:r>
      <w:r w:rsidR="00D52C3F" w:rsidRPr="00DD01B2">
        <w:rPr>
          <w:rFonts w:ascii="Aptos" w:hAnsi="Aptos" w:cstheme="minorHAnsi"/>
          <w:sz w:val="21"/>
          <w:szCs w:val="21"/>
        </w:rPr>
        <w:t>nabavu ostalih građevinskih objekata (šifra 4214)</w:t>
      </w:r>
      <w:r w:rsidR="005A7295" w:rsidRPr="00DD01B2">
        <w:rPr>
          <w:rFonts w:ascii="Aptos" w:hAnsi="Aptos" w:cstheme="minorHAnsi"/>
          <w:sz w:val="21"/>
          <w:szCs w:val="21"/>
        </w:rPr>
        <w:t>.</w:t>
      </w:r>
    </w:p>
    <w:p w14:paraId="0E94F5F1" w14:textId="3F590271" w:rsidR="008C15FB" w:rsidRPr="00DD01B2" w:rsidRDefault="008C15FB" w:rsidP="008C15FB">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U ovom izvještajnom razdoblju nema evidentiranih ostvarenih primitaka od financijske imovine i </w:t>
      </w:r>
      <w:proofErr w:type="spellStart"/>
      <w:r w:rsidRPr="00DD01B2">
        <w:rPr>
          <w:rFonts w:ascii="Aptos" w:hAnsi="Aptos" w:cstheme="minorHAnsi"/>
          <w:sz w:val="21"/>
          <w:szCs w:val="21"/>
        </w:rPr>
        <w:t>zađuživanja</w:t>
      </w:r>
      <w:proofErr w:type="spellEnd"/>
      <w:r w:rsidRPr="00DD01B2">
        <w:rPr>
          <w:rFonts w:ascii="Aptos" w:hAnsi="Aptos" w:cstheme="minorHAnsi"/>
          <w:sz w:val="21"/>
          <w:szCs w:val="21"/>
        </w:rPr>
        <w:t xml:space="preserve">, dok su izdaci za financijsku imovinu i otplate zajmova ostvareni u iznosu od </w:t>
      </w:r>
      <w:r w:rsidR="00D52C3F" w:rsidRPr="00DD01B2">
        <w:rPr>
          <w:rFonts w:ascii="Aptos" w:hAnsi="Aptos" w:cstheme="minorHAnsi"/>
          <w:sz w:val="21"/>
          <w:szCs w:val="21"/>
        </w:rPr>
        <w:t>65.033,32</w:t>
      </w:r>
      <w:r w:rsidRPr="00DD01B2">
        <w:rPr>
          <w:rFonts w:ascii="Aptos" w:hAnsi="Aptos" w:cstheme="minorHAnsi"/>
          <w:sz w:val="21"/>
          <w:szCs w:val="21"/>
        </w:rPr>
        <w:t xml:space="preserve"> €, što je za 79,20% manje nego u istom izvještajnom razdoblju prošle godine, obzirom da su u okviru ovih izdataka </w:t>
      </w:r>
      <w:r w:rsidR="00D52C3F" w:rsidRPr="00DD01B2">
        <w:rPr>
          <w:rFonts w:ascii="Aptos" w:hAnsi="Aptos" w:cstheme="minorHAnsi"/>
          <w:sz w:val="21"/>
          <w:szCs w:val="21"/>
        </w:rPr>
        <w:t xml:space="preserve">prošle godine </w:t>
      </w:r>
      <w:r w:rsidRPr="00DD01B2">
        <w:rPr>
          <w:rFonts w:ascii="Aptos" w:hAnsi="Aptos" w:cstheme="minorHAnsi"/>
          <w:sz w:val="21"/>
          <w:szCs w:val="21"/>
        </w:rPr>
        <w:t>evidentirani izdaci za udjele u glavnici trgovačkih društava u javnom sektoru odnosno sredstva za financiranje građenja vodovodnih ogranaka, a za čiju će se izvršenu vrijednost ulaganja povećati vrijednost udjela Grada Bakra u temeljnom kapitalu komunalnog društva Vodovod i kanalizacija d.o.o.</w:t>
      </w:r>
      <w:r w:rsidR="00D52C3F" w:rsidRPr="00DD01B2">
        <w:rPr>
          <w:rFonts w:ascii="Aptos" w:hAnsi="Aptos" w:cstheme="minorHAnsi"/>
          <w:sz w:val="21"/>
          <w:szCs w:val="21"/>
        </w:rPr>
        <w:t xml:space="preserve"> Rijeka.</w:t>
      </w:r>
    </w:p>
    <w:p w14:paraId="25DD8CFF" w14:textId="68788EBF" w:rsidR="005026A3" w:rsidRDefault="008C15FB" w:rsidP="005026A3">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U razdoblju od 01. siječnja do 3</w:t>
      </w:r>
      <w:r w:rsidR="00D52C3F" w:rsidRPr="00DD01B2">
        <w:rPr>
          <w:rFonts w:ascii="Aptos" w:hAnsi="Aptos" w:cstheme="minorHAnsi"/>
          <w:sz w:val="21"/>
          <w:szCs w:val="21"/>
        </w:rPr>
        <w:t>1</w:t>
      </w:r>
      <w:r w:rsidRPr="00DD01B2">
        <w:rPr>
          <w:rFonts w:ascii="Aptos" w:hAnsi="Aptos" w:cstheme="minorHAnsi"/>
          <w:sz w:val="21"/>
          <w:szCs w:val="21"/>
        </w:rPr>
        <w:t>.</w:t>
      </w:r>
      <w:r w:rsidR="00D52C3F" w:rsidRPr="00DD01B2">
        <w:rPr>
          <w:rFonts w:ascii="Aptos" w:hAnsi="Aptos" w:cstheme="minorHAnsi"/>
          <w:sz w:val="21"/>
          <w:szCs w:val="21"/>
        </w:rPr>
        <w:t xml:space="preserve"> prosinca</w:t>
      </w:r>
      <w:r w:rsidRPr="00DD01B2">
        <w:rPr>
          <w:rFonts w:ascii="Aptos" w:hAnsi="Aptos" w:cstheme="minorHAnsi"/>
          <w:sz w:val="21"/>
          <w:szCs w:val="21"/>
        </w:rPr>
        <w:t xml:space="preserve"> 2025.</w:t>
      </w:r>
      <w:r w:rsidR="005026A3">
        <w:rPr>
          <w:rFonts w:ascii="Aptos" w:hAnsi="Aptos" w:cstheme="minorHAnsi"/>
          <w:sz w:val="21"/>
          <w:szCs w:val="21"/>
        </w:rPr>
        <w:t xml:space="preserve"> godine </w:t>
      </w:r>
      <w:r w:rsidRPr="00DD01B2">
        <w:rPr>
          <w:rFonts w:ascii="Aptos" w:hAnsi="Aptos" w:cstheme="minorHAnsi"/>
          <w:sz w:val="21"/>
          <w:szCs w:val="21"/>
        </w:rPr>
        <w:t xml:space="preserve">ostvaren je višak prihoda poslovanja u iznosu od </w:t>
      </w:r>
      <w:r w:rsidR="00D52C3F" w:rsidRPr="00DD01B2">
        <w:rPr>
          <w:rFonts w:ascii="Aptos" w:hAnsi="Aptos" w:cstheme="minorHAnsi"/>
          <w:sz w:val="21"/>
          <w:szCs w:val="21"/>
        </w:rPr>
        <w:t>5.0</w:t>
      </w:r>
      <w:r w:rsidR="008217E8">
        <w:rPr>
          <w:rFonts w:ascii="Aptos" w:hAnsi="Aptos" w:cstheme="minorHAnsi"/>
          <w:sz w:val="21"/>
          <w:szCs w:val="21"/>
        </w:rPr>
        <w:t>49</w:t>
      </w:r>
      <w:r w:rsidR="00D52C3F" w:rsidRPr="00DD01B2">
        <w:rPr>
          <w:rFonts w:ascii="Aptos" w:hAnsi="Aptos" w:cstheme="minorHAnsi"/>
          <w:sz w:val="21"/>
          <w:szCs w:val="21"/>
        </w:rPr>
        <w:t>.</w:t>
      </w:r>
      <w:r w:rsidR="008217E8">
        <w:rPr>
          <w:rFonts w:ascii="Aptos" w:hAnsi="Aptos" w:cstheme="minorHAnsi"/>
          <w:sz w:val="21"/>
          <w:szCs w:val="21"/>
        </w:rPr>
        <w:t>825</w:t>
      </w:r>
      <w:r w:rsidR="00D52C3F" w:rsidRPr="00DD01B2">
        <w:rPr>
          <w:rFonts w:ascii="Aptos" w:hAnsi="Aptos" w:cstheme="minorHAnsi"/>
          <w:sz w:val="21"/>
          <w:szCs w:val="21"/>
        </w:rPr>
        <w:t>,32</w:t>
      </w:r>
      <w:r w:rsidRPr="00DD01B2">
        <w:rPr>
          <w:rFonts w:ascii="Aptos" w:hAnsi="Aptos" w:cstheme="minorHAnsi"/>
          <w:sz w:val="21"/>
          <w:szCs w:val="21"/>
        </w:rPr>
        <w:t xml:space="preserve"> €, manjak prihoda od nefinancijske imovine u iznosu od </w:t>
      </w:r>
      <w:r w:rsidR="00D52C3F" w:rsidRPr="00DD01B2">
        <w:rPr>
          <w:rFonts w:ascii="Aptos" w:hAnsi="Aptos" w:cstheme="minorHAnsi"/>
          <w:sz w:val="21"/>
          <w:szCs w:val="21"/>
        </w:rPr>
        <w:t>3.87</w:t>
      </w:r>
      <w:r w:rsidR="008217E8">
        <w:rPr>
          <w:rFonts w:ascii="Aptos" w:hAnsi="Aptos" w:cstheme="minorHAnsi"/>
          <w:sz w:val="21"/>
          <w:szCs w:val="21"/>
        </w:rPr>
        <w:t>3</w:t>
      </w:r>
      <w:r w:rsidR="00D52C3F" w:rsidRPr="00DD01B2">
        <w:rPr>
          <w:rFonts w:ascii="Aptos" w:hAnsi="Aptos" w:cstheme="minorHAnsi"/>
          <w:sz w:val="21"/>
          <w:szCs w:val="21"/>
        </w:rPr>
        <w:t>.</w:t>
      </w:r>
      <w:r w:rsidR="008217E8">
        <w:rPr>
          <w:rFonts w:ascii="Aptos" w:hAnsi="Aptos" w:cstheme="minorHAnsi"/>
          <w:sz w:val="21"/>
          <w:szCs w:val="21"/>
        </w:rPr>
        <w:t>21</w:t>
      </w:r>
      <w:r w:rsidR="00D52C3F" w:rsidRPr="00DD01B2">
        <w:rPr>
          <w:rFonts w:ascii="Aptos" w:hAnsi="Aptos" w:cstheme="minorHAnsi"/>
          <w:sz w:val="21"/>
          <w:szCs w:val="21"/>
        </w:rPr>
        <w:t>0,81</w:t>
      </w:r>
      <w:r w:rsidRPr="00DD01B2">
        <w:rPr>
          <w:rFonts w:ascii="Aptos" w:hAnsi="Aptos" w:cstheme="minorHAnsi"/>
          <w:sz w:val="21"/>
          <w:szCs w:val="21"/>
        </w:rPr>
        <w:t xml:space="preserve"> € te manjak primitaka od financijske imovine i zaduživanja u iznosu od </w:t>
      </w:r>
      <w:r w:rsidR="00D52C3F" w:rsidRPr="00DD01B2">
        <w:rPr>
          <w:rFonts w:ascii="Aptos" w:hAnsi="Aptos" w:cstheme="minorHAnsi"/>
          <w:sz w:val="21"/>
          <w:szCs w:val="21"/>
        </w:rPr>
        <w:t>65.033,32</w:t>
      </w:r>
      <w:r w:rsidRPr="00DD01B2">
        <w:rPr>
          <w:rFonts w:ascii="Aptos" w:hAnsi="Aptos" w:cstheme="minorHAnsi"/>
          <w:sz w:val="21"/>
          <w:szCs w:val="21"/>
        </w:rPr>
        <w:t xml:space="preserve"> €, slijedom čega je na kraju izvještajnog razdoblja </w:t>
      </w:r>
      <w:r w:rsidRPr="00DD01B2">
        <w:rPr>
          <w:rFonts w:ascii="Aptos" w:hAnsi="Aptos" w:cstheme="minorHAnsi"/>
          <w:sz w:val="21"/>
          <w:szCs w:val="21"/>
        </w:rPr>
        <w:lastRenderedPageBreak/>
        <w:t>ostvaren ukupan višak prihoda i primitaka u iznosu od 1.</w:t>
      </w:r>
      <w:r w:rsidR="00D52C3F" w:rsidRPr="00DD01B2">
        <w:rPr>
          <w:rFonts w:ascii="Aptos" w:hAnsi="Aptos" w:cstheme="minorHAnsi"/>
          <w:sz w:val="21"/>
          <w:szCs w:val="21"/>
        </w:rPr>
        <w:t>1</w:t>
      </w:r>
      <w:r w:rsidRPr="00DD01B2">
        <w:rPr>
          <w:rFonts w:ascii="Aptos" w:hAnsi="Aptos" w:cstheme="minorHAnsi"/>
          <w:sz w:val="21"/>
          <w:szCs w:val="21"/>
        </w:rPr>
        <w:t>11.</w:t>
      </w:r>
      <w:r w:rsidR="00D52C3F" w:rsidRPr="00DD01B2">
        <w:rPr>
          <w:rFonts w:ascii="Aptos" w:hAnsi="Aptos" w:cstheme="minorHAnsi"/>
          <w:sz w:val="21"/>
          <w:szCs w:val="21"/>
        </w:rPr>
        <w:t>581,19</w:t>
      </w:r>
      <w:r w:rsidRPr="00DD01B2">
        <w:rPr>
          <w:rFonts w:ascii="Aptos" w:hAnsi="Aptos" w:cstheme="minorHAnsi"/>
          <w:sz w:val="21"/>
          <w:szCs w:val="21"/>
        </w:rPr>
        <w:t xml:space="preserve"> €.</w:t>
      </w:r>
      <w:r w:rsidR="005026A3">
        <w:rPr>
          <w:rFonts w:ascii="Aptos" w:hAnsi="Aptos" w:cstheme="minorHAnsi"/>
          <w:sz w:val="21"/>
          <w:szCs w:val="21"/>
        </w:rPr>
        <w:t xml:space="preserve"> Uzimajući u obzir preneseni višak prihoda, višak prihoda i primitaka raspoloživ u sljedećem razdoblju iznosi 7.699.790,94 €. </w:t>
      </w:r>
    </w:p>
    <w:p w14:paraId="0DFB2901" w14:textId="47FC298F" w:rsidR="003F7F89" w:rsidRPr="003F7F89" w:rsidRDefault="003F7F89" w:rsidP="003F7F89">
      <w:pPr>
        <w:spacing w:before="60" w:after="60"/>
        <w:ind w:left="-425" w:right="-380" w:firstLine="284"/>
        <w:jc w:val="both"/>
        <w:rPr>
          <w:rFonts w:ascii="Aptos" w:hAnsi="Aptos" w:cstheme="minorHAnsi"/>
          <w:sz w:val="21"/>
          <w:szCs w:val="21"/>
        </w:rPr>
      </w:pPr>
      <w:r w:rsidRPr="003F7F89">
        <w:rPr>
          <w:rFonts w:ascii="Aptos" w:hAnsi="Aptos" w:cstheme="minorHAnsi"/>
          <w:sz w:val="21"/>
          <w:szCs w:val="21"/>
        </w:rPr>
        <w:t xml:space="preserve">Ostvareni višak prihoda proizlazi ponajprije iz okolnosti koje su usporile provedbu planiranih projekata, uključujući administrativne i proceduralne prepreke, neriješene imovinsko–pravne odnose te dugotrajne postupke javne nabave i ishođenja potrebnih dozvola. Navedeni </w:t>
      </w:r>
      <w:r>
        <w:rPr>
          <w:rFonts w:ascii="Aptos" w:hAnsi="Aptos" w:cstheme="minorHAnsi"/>
          <w:sz w:val="21"/>
          <w:szCs w:val="21"/>
        </w:rPr>
        <w:t xml:space="preserve">su čimbenici utjecali na </w:t>
      </w:r>
      <w:r w:rsidRPr="003F7F89">
        <w:rPr>
          <w:rFonts w:ascii="Aptos" w:hAnsi="Aptos" w:cstheme="minorHAnsi"/>
          <w:sz w:val="21"/>
          <w:szCs w:val="21"/>
        </w:rPr>
        <w:t>početak realizacije pojedinih projekata, što je rezultiralo manjim izvršenjem rashoda od planiranog.</w:t>
      </w:r>
    </w:p>
    <w:p w14:paraId="6966558C" w14:textId="77777777" w:rsidR="005A7295" w:rsidRPr="00DD01B2" w:rsidRDefault="005A7295" w:rsidP="005A7295">
      <w:pPr>
        <w:pBdr>
          <w:top w:val="single" w:sz="4" w:space="1" w:color="auto"/>
          <w:left w:val="single" w:sz="4" w:space="0" w:color="auto"/>
          <w:bottom w:val="single" w:sz="4" w:space="1" w:color="auto"/>
          <w:right w:val="single" w:sz="4" w:space="19" w:color="auto"/>
        </w:pBdr>
        <w:spacing w:before="60" w:after="60"/>
        <w:ind w:left="-425"/>
        <w:jc w:val="center"/>
        <w:rPr>
          <w:rFonts w:ascii="Aptos" w:hAnsi="Aptos" w:cstheme="minorHAnsi"/>
          <w:b/>
          <w:sz w:val="21"/>
          <w:szCs w:val="21"/>
        </w:rPr>
      </w:pPr>
      <w:r w:rsidRPr="00DD01B2">
        <w:rPr>
          <w:rFonts w:ascii="Aptos" w:hAnsi="Aptos" w:cstheme="minorHAnsi"/>
          <w:b/>
          <w:sz w:val="21"/>
          <w:szCs w:val="21"/>
        </w:rPr>
        <w:t>PRIHODI POSLOVANJA</w:t>
      </w:r>
    </w:p>
    <w:p w14:paraId="15ECCDFA"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61 - Prihodi od poreza</w:t>
      </w:r>
    </w:p>
    <w:p w14:paraId="38A6BBCC"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Prihodi od poreza ostvareni su u iznosu od 5.454.494,62 €, što je u odnosu na iste prihode ostvarene u istom razdoblju 2024. godine više za 19,5%. Povećanje poreznih prihoda evidentno je po svim vrstama poreza na dohodak i poreza na imovinu, što se svakako može pripisati većoj gospodarskoj aktivnosti i kretanjima na tržištu nekretnina, posebice u Industrijskoj zoni Kukuljanovo.</w:t>
      </w:r>
    </w:p>
    <w:p w14:paraId="6F7F61FD"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6115 – Porez na dohodak po godišnjoj prijavi</w:t>
      </w:r>
    </w:p>
    <w:p w14:paraId="04DF21CC"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Primjenjujući nova konta sukladno novom Pravilniku o proračunskom računovodstvu i Računskom planu (Narodne novine broj 158/23, 154/24) porez na dohodak po godišnjoj prijavi – šifra 6115 ostvaren je u iznosu s negativnim predznakom od -402.012,34 €, za koji je umanjen porez na dohodak od nesamostalnog rada – šifra 6111 koji je umjesto ostvarenih 4.825.989,19 € u izvještaju iskazan u iznosu od 4.423.976,85 €.</w:t>
      </w:r>
    </w:p>
    <w:p w14:paraId="7F203E63"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63 - Pomoći iz inozemstva i od subjekata unutar općeg proračuna</w:t>
      </w:r>
    </w:p>
    <w:p w14:paraId="13064D69"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U ovom razdoblju prihodi od pomoći ostvareni su u iznosu za 44,50% manje u odnosu na prošlu godinu kada je evidentno ostvarenje kapitalnih pomoći iz državnog proračuna u iznosu od 254.545,88 € i kapitalnih pomoći temeljem prijenosa EU sredstava u iznosu od 180.095,15 €.</w:t>
      </w:r>
    </w:p>
    <w:p w14:paraId="73D468EB"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6331 - Tekuće pomoći proračunu iz drugih proračuna</w:t>
      </w:r>
    </w:p>
    <w:p w14:paraId="36C9ECEB" w14:textId="25BC7F8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Tekuće pomoći proračunu iz drugih proračuna – šifra 6331 u iznosu od 150.541,40 € obuhvaćaju sredstva za fiskalnu održivost dječjih vrtića za pedagošku godinu 2024./2025., sredstva za funkcionalno spajanje te sredstva tekućih pomoći iz županijskog proračuna za izdavanje Bakarskog zbornika i sufinanciranje troškova rada osobnog asistenta-njegovatelja. U odnosu na prošlogodišnje razdoblje ovi su prihodi manji za 48,8% obzirom da su prošle godine u okviru ovih prihoda evidentirana sredstva fiskalnog izravnanja. Prema novom Pravilniku o proračunskom računovodstvu i Računskom planu u 2025. godini ova su sredstva ostvarena u okviru skupine računa – šifra 6353 u iznosu od 181.584,26 €.</w:t>
      </w:r>
    </w:p>
    <w:p w14:paraId="7B92BC6C"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6382 - Kapitalne pomoći temeljem prijenosa EU sredstava</w:t>
      </w:r>
    </w:p>
    <w:p w14:paraId="47537F42" w14:textId="061A8D84"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Kapitalne pomoći temeljem prijenosa EU sredstava – šifra 6382 isplaćene su u znatno manjem iznosu nego prošle godine, a ostvarena sredstva namijenjene su za sufinanciranje projekta opremanje Doma kulture Matija </w:t>
      </w:r>
      <w:proofErr w:type="spellStart"/>
      <w:r w:rsidRPr="00DD01B2">
        <w:rPr>
          <w:rFonts w:ascii="Aptos" w:hAnsi="Aptos" w:cstheme="minorHAnsi"/>
          <w:sz w:val="21"/>
          <w:szCs w:val="21"/>
        </w:rPr>
        <w:t>Mažić</w:t>
      </w:r>
      <w:proofErr w:type="spellEnd"/>
      <w:r w:rsidRPr="00DD01B2">
        <w:rPr>
          <w:rFonts w:ascii="Aptos" w:hAnsi="Aptos" w:cstheme="minorHAnsi"/>
          <w:sz w:val="21"/>
          <w:szCs w:val="21"/>
        </w:rPr>
        <w:t xml:space="preserve"> u Bakru i izgradnju i opremanje dječjeg igrališta </w:t>
      </w:r>
      <w:proofErr w:type="spellStart"/>
      <w:r w:rsidRPr="00DD01B2">
        <w:rPr>
          <w:rFonts w:ascii="Aptos" w:hAnsi="Aptos" w:cstheme="minorHAnsi"/>
          <w:sz w:val="21"/>
          <w:szCs w:val="21"/>
        </w:rPr>
        <w:t>Praputnjak</w:t>
      </w:r>
      <w:proofErr w:type="spellEnd"/>
      <w:r w:rsidRPr="00DD01B2">
        <w:rPr>
          <w:rFonts w:ascii="Aptos" w:hAnsi="Aptos" w:cstheme="minorHAnsi"/>
          <w:sz w:val="21"/>
          <w:szCs w:val="21"/>
        </w:rPr>
        <w:t>.</w:t>
      </w:r>
    </w:p>
    <w:p w14:paraId="6945E2E9"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6413 – Kamate na oročena sredstva i depozite po viđenju</w:t>
      </w:r>
    </w:p>
    <w:p w14:paraId="391EFFFA" w14:textId="43B3B1C5"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Za razliku od prošle godine, u ovom su izvještajnom razdoblju evidentirani manji prihodi od kamata na oročena sredstva – šifra 6413 temeljem ugovora o </w:t>
      </w:r>
      <w:proofErr w:type="spellStart"/>
      <w:r w:rsidRPr="00DD01B2">
        <w:rPr>
          <w:rFonts w:ascii="Aptos" w:hAnsi="Aptos" w:cstheme="minorHAnsi"/>
          <w:sz w:val="21"/>
          <w:szCs w:val="21"/>
        </w:rPr>
        <w:t>oročenju</w:t>
      </w:r>
      <w:proofErr w:type="spellEnd"/>
      <w:r w:rsidRPr="00DD01B2">
        <w:rPr>
          <w:rFonts w:ascii="Aptos" w:hAnsi="Aptos" w:cstheme="minorHAnsi"/>
          <w:sz w:val="21"/>
          <w:szCs w:val="21"/>
        </w:rPr>
        <w:t xml:space="preserve"> depozita s poslovnom bankom, a obzirom na manji iznos godišnje kamatne stope na oročena sredstva.</w:t>
      </w:r>
    </w:p>
    <w:p w14:paraId="754EF2E8"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6421 – Naknade za koncesije</w:t>
      </w:r>
    </w:p>
    <w:p w14:paraId="70C9AD5B" w14:textId="157C5123"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Ostvarene naknade za koncesije obuhvaćaju naknade za koncesiju za obavljanje dimnjačarskih poslova u iznosu od 862,68 € te naknade za koncesiju na vodama i pomorskom dobru u iznosu od 164.720,23 €.</w:t>
      </w:r>
    </w:p>
    <w:p w14:paraId="040C7EAA"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t>ŠIFRA 6422 – Prihodi od zakupa i iznajmljivanja imovine</w:t>
      </w:r>
    </w:p>
    <w:p w14:paraId="6E63E3F2" w14:textId="35A4990C" w:rsidR="005A7295"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Ovi su prihodi manji za 17,9% nego u istom obračunskom razdoblju prošle godine kada su naplaćeni  prihodi od zakupa nekretnine na platou koksare odnosno građevinskog zemljišta površine 11.600,00 m</w:t>
      </w:r>
      <w:r w:rsidRPr="00DD01B2">
        <w:rPr>
          <w:rFonts w:ascii="Aptos" w:hAnsi="Aptos" w:cstheme="minorHAnsi"/>
          <w:sz w:val="21"/>
          <w:szCs w:val="21"/>
          <w:vertAlign w:val="superscript"/>
        </w:rPr>
        <w:t>2</w:t>
      </w:r>
      <w:r w:rsidRPr="00DD01B2">
        <w:rPr>
          <w:rFonts w:ascii="Aptos" w:hAnsi="Aptos" w:cstheme="minorHAnsi"/>
          <w:sz w:val="21"/>
          <w:szCs w:val="21"/>
        </w:rPr>
        <w:t xml:space="preserve"> u svrhu skladištenja drvne građe sukladno upravnom ugovoru o obročnom plaćanju duga.</w:t>
      </w:r>
    </w:p>
    <w:p w14:paraId="2D145218" w14:textId="77777777" w:rsidR="00AE46BF" w:rsidRDefault="00AE46BF" w:rsidP="005A7295">
      <w:pPr>
        <w:spacing w:before="60" w:after="60"/>
        <w:ind w:left="-425" w:right="-380" w:firstLine="284"/>
        <w:jc w:val="both"/>
        <w:rPr>
          <w:rFonts w:ascii="Aptos" w:hAnsi="Aptos" w:cstheme="minorHAnsi"/>
          <w:sz w:val="21"/>
          <w:szCs w:val="21"/>
        </w:rPr>
      </w:pPr>
    </w:p>
    <w:p w14:paraId="71DCCA45" w14:textId="77777777" w:rsidR="00AE46BF" w:rsidRPr="00DD01B2" w:rsidRDefault="00AE46BF" w:rsidP="005A7295">
      <w:pPr>
        <w:spacing w:before="60" w:after="60"/>
        <w:ind w:left="-425" w:right="-380" w:firstLine="284"/>
        <w:jc w:val="both"/>
        <w:rPr>
          <w:rFonts w:ascii="Aptos" w:hAnsi="Aptos" w:cstheme="minorHAnsi"/>
          <w:sz w:val="21"/>
          <w:szCs w:val="21"/>
        </w:rPr>
      </w:pPr>
    </w:p>
    <w:p w14:paraId="092CB0DB" w14:textId="77777777" w:rsidR="005A7295" w:rsidRPr="00DD01B2" w:rsidRDefault="005A7295" w:rsidP="005A7295">
      <w:pPr>
        <w:spacing w:before="100" w:after="100"/>
        <w:ind w:left="-425" w:right="-380"/>
        <w:rPr>
          <w:rFonts w:ascii="Aptos" w:hAnsi="Aptos" w:cs="Calibri"/>
          <w:b/>
          <w:bCs/>
          <w:sz w:val="21"/>
          <w:szCs w:val="21"/>
        </w:rPr>
      </w:pPr>
      <w:r w:rsidRPr="00DD01B2">
        <w:rPr>
          <w:rFonts w:ascii="Aptos" w:hAnsi="Aptos" w:cs="Calibri"/>
          <w:b/>
          <w:bCs/>
          <w:sz w:val="21"/>
          <w:szCs w:val="21"/>
        </w:rPr>
        <w:lastRenderedPageBreak/>
        <w:t>ŠIFRA 6423 – N</w:t>
      </w:r>
      <w:r w:rsidRPr="00DD01B2">
        <w:rPr>
          <w:rFonts w:ascii="Aptos" w:hAnsi="Aptos" w:cstheme="minorHAnsi"/>
          <w:b/>
          <w:bCs/>
          <w:sz w:val="21"/>
          <w:szCs w:val="21"/>
        </w:rPr>
        <w:t>aknade za korištenje nefinancijske imovine</w:t>
      </w:r>
    </w:p>
    <w:p w14:paraId="12897171" w14:textId="39F3A638"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U odnosu na prošlu godinu ove su naknade manje za 32,6% obzirom da je prošle godine sukladno rješenju Upravnog odjela za turizam, poduzetništvo i ruralni razvoj Primorsko-goranske županije za jednog obveznika pravnu osobu naplaćena naknada za promjenu namjene poljoprivrednog u građevinsko zemljište u iznosu od 13.692,76 €.</w:t>
      </w:r>
    </w:p>
    <w:p w14:paraId="3DD1B226"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6512 – Gradske pristojbe i naknade</w:t>
      </w:r>
    </w:p>
    <w:p w14:paraId="30AC3B31"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Prihodi od gradskih pristojbi i naknada ostvareni su u većem iznosu nego prošle godine i obuhvaćaju upravne pristojbe u žalbenim postupcima utvrđivanja obveze poreza na nekretnine te veće naknade za zakup javnih površina radi obavljanja gospodarske djelatnosti na pokretnim radnjama, štandovima i sl. u okviru raznih kulturnih priredbi i manifestacija.</w:t>
      </w:r>
    </w:p>
    <w:p w14:paraId="5A67830B"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6524 – Doprinosi za šume</w:t>
      </w:r>
    </w:p>
    <w:p w14:paraId="501B1855" w14:textId="51A3D6FC"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Prihodi od šumskog doprinosa ostvareni su u iznosu od 13.162,36 €, što je znatno više nego prošle godine, a obuhvaćaju sredstva od doprinosa za šume koji se sukladno Zakonu o šumama utvrđuje pravnim i fizičkim osobama, osim malim </w:t>
      </w:r>
      <w:proofErr w:type="spellStart"/>
      <w:r w:rsidRPr="00DD01B2">
        <w:rPr>
          <w:rFonts w:ascii="Aptos" w:hAnsi="Aptos" w:cstheme="minorHAnsi"/>
          <w:sz w:val="21"/>
          <w:szCs w:val="21"/>
        </w:rPr>
        <w:t>šumoposjednicima</w:t>
      </w:r>
      <w:proofErr w:type="spellEnd"/>
      <w:r w:rsidRPr="00DD01B2">
        <w:rPr>
          <w:rFonts w:ascii="Aptos" w:hAnsi="Aptos" w:cstheme="minorHAnsi"/>
          <w:sz w:val="21"/>
          <w:szCs w:val="21"/>
        </w:rPr>
        <w:t>, koje obavljaju prodaju proizvoda iskorištavanja šuma (drvni sortiment) i to u visini od 5% u odnosu na prodajnu cijenu proizvoda na panju.</w:t>
      </w:r>
    </w:p>
    <w:p w14:paraId="3A815ED4" w14:textId="3A1443A0"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6526 – Ostali nespomenuti prihodi</w:t>
      </w:r>
    </w:p>
    <w:p w14:paraId="101FBEB7" w14:textId="0A7E7B5D"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Ostali nespomenuti prihodi obuhvaćaju prihode od povrata u gradski proračun - prihodi od refundacije troškova električne energije, plina i vode za korisnike poslovnih i stambenih prostora u vlasništvu Grada Bakra, prihodi od refundacije usluga logopeda, povrati u proračun s osnove više ili pogrešno uplaćenih sredstava i sl., naknade za zadržavanje nezakonito izgrađenih zgrada u prostoru te ostale nespomenute prihode - prihodi s osnove osiguranja, prihodi s osnova troškova ovrhe i troškova postupka. Ostvarenje ovih prihoda u odnosu na prošlogodišnje izvještajno razdoblje veće je za 15,6%, obzirom da je u okviru ovih prihoda evidentirana refundacija Županijskog suda u Rijeci za troškova provedbe lokalnih izbora održanih u svibnju ove godine.</w:t>
      </w:r>
    </w:p>
    <w:p w14:paraId="2CE421D6"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6531 – Komunalni doprinosi</w:t>
      </w:r>
    </w:p>
    <w:p w14:paraId="46F2E0CA" w14:textId="77777777" w:rsidR="005A7295" w:rsidRPr="00DD01B2" w:rsidRDefault="005A7295" w:rsidP="005A7295">
      <w:pPr>
        <w:spacing w:before="80" w:after="80"/>
        <w:ind w:left="-425" w:right="-380" w:firstLine="284"/>
        <w:jc w:val="both"/>
        <w:rPr>
          <w:rFonts w:ascii="Aptos" w:hAnsi="Aptos" w:cs="Arial"/>
          <w:sz w:val="21"/>
          <w:szCs w:val="21"/>
        </w:rPr>
      </w:pPr>
      <w:r w:rsidRPr="00DD01B2">
        <w:rPr>
          <w:rFonts w:ascii="Aptos" w:hAnsi="Aptos" w:cstheme="minorHAnsi"/>
          <w:sz w:val="21"/>
          <w:szCs w:val="21"/>
        </w:rPr>
        <w:t xml:space="preserve">Prihodi od komunalnog doprinosa ovise o dinamici izgradnje stambenih i poslovnih objekata na gradskom području. U ovom razdoblju ostvareni su znatno više nego prošle godine, a prvenstveno se odnose na komunalni doprinos </w:t>
      </w:r>
      <w:r w:rsidRPr="00DD01B2">
        <w:rPr>
          <w:rFonts w:ascii="Aptos" w:hAnsi="Aptos" w:cs="Arial"/>
          <w:sz w:val="21"/>
          <w:szCs w:val="21"/>
        </w:rPr>
        <w:t xml:space="preserve">za dozvoljenu rekonstrukciju građevine gospodarske namjene odnosno dogradnju postojeće građevine i gradnju složene građevine gospodarske namjene – logističkog distributivnog centra u Industrijskoj zoni na građevnoj čestici </w:t>
      </w:r>
      <w:proofErr w:type="spellStart"/>
      <w:r w:rsidRPr="00DD01B2">
        <w:rPr>
          <w:rFonts w:ascii="Aptos" w:hAnsi="Aptos" w:cs="Arial"/>
          <w:sz w:val="21"/>
          <w:szCs w:val="21"/>
        </w:rPr>
        <w:t>k.č</w:t>
      </w:r>
      <w:proofErr w:type="spellEnd"/>
      <w:r w:rsidRPr="00DD01B2">
        <w:rPr>
          <w:rFonts w:ascii="Aptos" w:hAnsi="Aptos" w:cs="Arial"/>
          <w:sz w:val="21"/>
          <w:szCs w:val="21"/>
        </w:rPr>
        <w:t>. 440 k.o. Kukuljanovo-Nova.</w:t>
      </w:r>
    </w:p>
    <w:p w14:paraId="6EA67B40"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6532 – Komunalne naknade</w:t>
      </w:r>
    </w:p>
    <w:p w14:paraId="03D3263D" w14:textId="76A51CBD" w:rsidR="005A7295" w:rsidRPr="00DD01B2" w:rsidRDefault="005A7295" w:rsidP="005A7295">
      <w:pPr>
        <w:spacing w:before="80" w:after="80"/>
        <w:ind w:left="-425" w:right="-380" w:firstLine="284"/>
        <w:jc w:val="both"/>
        <w:rPr>
          <w:rFonts w:ascii="Aptos" w:hAnsi="Aptos" w:cstheme="minorHAnsi"/>
          <w:sz w:val="21"/>
          <w:szCs w:val="21"/>
        </w:rPr>
      </w:pPr>
      <w:r w:rsidRPr="00DD01B2">
        <w:rPr>
          <w:rFonts w:ascii="Aptos" w:hAnsi="Aptos" w:cstheme="minorHAnsi"/>
          <w:sz w:val="21"/>
          <w:szCs w:val="21"/>
        </w:rPr>
        <w:t>Prihodi od komunalne naknade u ovom izvještajnom razdoblju ostvareni su za 16% više nego prošle godine, a kao posljedica veće gospodarske aktivnosti, kontinuiranih ulaganja i izgradnje novih poslovnih objekata i porasta broja gospodarskih subjekata na području Industrijske zone Kukuljanovo.</w:t>
      </w:r>
    </w:p>
    <w:p w14:paraId="566E997F"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 xml:space="preserve">ŠIFRA 6615 - Prihodi od  pruženih usluga </w:t>
      </w:r>
    </w:p>
    <w:p w14:paraId="6C0384D6"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Prihodi od pruženih usluga odnose se na prihod koji Grad Bakar ostvaruje temeljem postotka naplaćene naknade za uređenje voda, koju obračunava i naplaćuje u ime i za račun Hrvatskih voda. Budući da je naplata ove naknade povezana s naplatom komunalne naknade, a uzimajući u obzir porast broja gospodarskih subjekata na području Grada, u promatranom razdoblju ostvaren je veći iznos naplate u odnosu na prethodnu godinu. To se izravno odrazilo na povećanje prihoda od pruženih usluga.</w:t>
      </w:r>
    </w:p>
    <w:p w14:paraId="5E0BEE91" w14:textId="77777777" w:rsidR="005A7295" w:rsidRPr="00DD01B2" w:rsidRDefault="005A7295" w:rsidP="005A7295">
      <w:pPr>
        <w:pBdr>
          <w:top w:val="single" w:sz="4" w:space="1" w:color="auto"/>
          <w:left w:val="single" w:sz="4" w:space="0" w:color="auto"/>
          <w:bottom w:val="single" w:sz="4" w:space="1" w:color="auto"/>
          <w:right w:val="single" w:sz="4" w:space="19" w:color="auto"/>
        </w:pBdr>
        <w:spacing w:before="60" w:after="60"/>
        <w:ind w:left="-425"/>
        <w:jc w:val="center"/>
        <w:rPr>
          <w:rFonts w:ascii="Aptos" w:hAnsi="Aptos" w:cstheme="minorHAnsi"/>
          <w:b/>
          <w:sz w:val="21"/>
          <w:szCs w:val="21"/>
        </w:rPr>
      </w:pPr>
      <w:r w:rsidRPr="00DD01B2">
        <w:rPr>
          <w:rFonts w:ascii="Aptos" w:hAnsi="Aptos" w:cstheme="minorHAnsi"/>
          <w:b/>
          <w:sz w:val="21"/>
          <w:szCs w:val="21"/>
        </w:rPr>
        <w:t>RASHODI POSLOVANJA</w:t>
      </w:r>
    </w:p>
    <w:p w14:paraId="0ACC0F04"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31 - Rashodi za zaposlene</w:t>
      </w:r>
    </w:p>
    <w:p w14:paraId="01BC5868" w14:textId="1F983384" w:rsidR="005A7295" w:rsidRDefault="005A7295" w:rsidP="00327C6A">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Rashodi za zaposlene obuhvaćaju plaće za redovan rad, ostale rashode za zaposlene i doprinose na plaće, a u odnosu na iste u 2024. godini ovi rashodi veći su za </w:t>
      </w:r>
      <w:r w:rsidR="00327C6A" w:rsidRPr="00DD01B2">
        <w:rPr>
          <w:rFonts w:ascii="Aptos" w:hAnsi="Aptos" w:cstheme="minorHAnsi"/>
          <w:sz w:val="21"/>
          <w:szCs w:val="21"/>
        </w:rPr>
        <w:t>34,2</w:t>
      </w:r>
      <w:r w:rsidRPr="00DD01B2">
        <w:rPr>
          <w:rFonts w:ascii="Aptos" w:hAnsi="Aptos" w:cstheme="minorHAnsi"/>
          <w:sz w:val="21"/>
          <w:szCs w:val="21"/>
        </w:rPr>
        <w:t>% uslijed prijema u službu tri nova službenika na neodređeno vrijeme i dvoje vježbenika</w:t>
      </w:r>
      <w:r w:rsidR="00327C6A" w:rsidRPr="00DD01B2">
        <w:rPr>
          <w:rFonts w:ascii="Aptos" w:hAnsi="Aptos" w:cstheme="minorHAnsi"/>
          <w:sz w:val="21"/>
          <w:szCs w:val="21"/>
        </w:rPr>
        <w:t>, isplate otpremnine radi odlaska u mirovinu za dvoje službenika</w:t>
      </w:r>
      <w:r w:rsidRPr="00DD01B2">
        <w:rPr>
          <w:rFonts w:ascii="Aptos" w:hAnsi="Aptos" w:cstheme="minorHAnsi"/>
          <w:sz w:val="21"/>
          <w:szCs w:val="21"/>
        </w:rPr>
        <w:t xml:space="preserve"> te povećanja osnovice za obračun plaća službenika i namještenika u upravnim tijelima Grada Bakra od srpnja 2024. godine sukladno Odluci gradonačelnika o osnovici za obračun plaća (Službene novine Grada Bakra broj 8/24, 2/25).</w:t>
      </w:r>
    </w:p>
    <w:p w14:paraId="61662932" w14:textId="77777777" w:rsidR="00AE46BF" w:rsidRPr="00DD01B2" w:rsidRDefault="00AE46BF" w:rsidP="00327C6A">
      <w:pPr>
        <w:spacing w:before="60" w:after="60"/>
        <w:ind w:left="-425" w:right="-380" w:firstLine="284"/>
        <w:jc w:val="both"/>
        <w:rPr>
          <w:rFonts w:ascii="Aptos" w:hAnsi="Aptos" w:cstheme="minorHAnsi"/>
          <w:sz w:val="21"/>
          <w:szCs w:val="21"/>
        </w:rPr>
      </w:pPr>
    </w:p>
    <w:p w14:paraId="31984D9F"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lastRenderedPageBreak/>
        <w:t>ŠIFRA 321 – Naknade troškova zaposlenima</w:t>
      </w:r>
    </w:p>
    <w:p w14:paraId="3AE69D50" w14:textId="1D00BF0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Naknade troškova zaposlenima veće su za </w:t>
      </w:r>
      <w:r w:rsidR="00327C6A" w:rsidRPr="00DD01B2">
        <w:rPr>
          <w:rFonts w:ascii="Aptos" w:hAnsi="Aptos" w:cstheme="minorHAnsi"/>
          <w:sz w:val="21"/>
          <w:szCs w:val="21"/>
        </w:rPr>
        <w:t>77,7</w:t>
      </w:r>
      <w:r w:rsidRPr="00DD01B2">
        <w:rPr>
          <w:rFonts w:ascii="Aptos" w:hAnsi="Aptos" w:cstheme="minorHAnsi"/>
          <w:sz w:val="21"/>
          <w:szCs w:val="21"/>
        </w:rPr>
        <w:t>% zbog prijema u službu tri službenika i dvoje vježbenika, većih troškova cijena javnog prijevoza te većih rashoda za usavršavanje u području proračunskog računovodstva i stručno osposobljavanje pomorskih / lučkih redara.</w:t>
      </w:r>
    </w:p>
    <w:p w14:paraId="3C2DDAA8"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322 – Rashodi za materijal i energiju</w:t>
      </w:r>
    </w:p>
    <w:p w14:paraId="4F051E42" w14:textId="27474D1D" w:rsidR="00DD01B2" w:rsidRPr="00DD01B2" w:rsidRDefault="005A7295" w:rsidP="00AE46BF">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U odnosu na prošlu godinu ovi su rashodi veći za </w:t>
      </w:r>
      <w:r w:rsidR="00327C6A" w:rsidRPr="00DD01B2">
        <w:rPr>
          <w:rFonts w:ascii="Aptos" w:hAnsi="Aptos" w:cstheme="minorHAnsi"/>
          <w:sz w:val="21"/>
          <w:szCs w:val="21"/>
        </w:rPr>
        <w:t>17,8</w:t>
      </w:r>
      <w:r w:rsidRPr="00DD01B2">
        <w:rPr>
          <w:rFonts w:ascii="Aptos" w:hAnsi="Aptos" w:cstheme="minorHAnsi"/>
          <w:sz w:val="21"/>
          <w:szCs w:val="21"/>
        </w:rPr>
        <w:t>% prvenstveno zbog općeg porasta cijena na tržištu, dok je za potrebe domova kulture nabavljeno više sitnog inventara nego prošle godine.</w:t>
      </w:r>
    </w:p>
    <w:p w14:paraId="5D3EEFE6"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329 – Ostali nespomenuti rashodi poslovanja</w:t>
      </w:r>
    </w:p>
    <w:p w14:paraId="528624EB" w14:textId="5680679D"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Na povećanje ovih rashoda u odnosu na prošlu godinu najveći utjecaj su imali lokalni izbori provedeni u svibnju 2025. godine, niz aktivnosti poput otvorenja Doma kulture </w:t>
      </w:r>
      <w:proofErr w:type="spellStart"/>
      <w:r w:rsidRPr="00DD01B2">
        <w:rPr>
          <w:rFonts w:ascii="Aptos" w:hAnsi="Aptos" w:cstheme="minorHAnsi"/>
          <w:sz w:val="21"/>
          <w:szCs w:val="21"/>
        </w:rPr>
        <w:t>Krasica</w:t>
      </w:r>
      <w:proofErr w:type="spellEnd"/>
      <w:r w:rsidRPr="00DD01B2">
        <w:rPr>
          <w:rFonts w:ascii="Aptos" w:hAnsi="Aptos" w:cstheme="minorHAnsi"/>
          <w:sz w:val="21"/>
          <w:szCs w:val="21"/>
        </w:rPr>
        <w:t xml:space="preserve">, dječjih reduta i paljenja pusta, potpisivanja ugovora, doček LAG-ova u </w:t>
      </w:r>
      <w:proofErr w:type="spellStart"/>
      <w:r w:rsidRPr="00DD01B2">
        <w:rPr>
          <w:rFonts w:ascii="Aptos" w:hAnsi="Aptos" w:cstheme="minorHAnsi"/>
          <w:sz w:val="21"/>
          <w:szCs w:val="21"/>
        </w:rPr>
        <w:t>prezidama</w:t>
      </w:r>
      <w:proofErr w:type="spellEnd"/>
      <w:r w:rsidRPr="00DD01B2">
        <w:rPr>
          <w:rFonts w:ascii="Aptos" w:hAnsi="Aptos" w:cstheme="minorHAnsi"/>
          <w:sz w:val="21"/>
          <w:szCs w:val="21"/>
        </w:rPr>
        <w:t xml:space="preserve"> i sl. te isplata parničnih troškova temeljem dvije sudske presude</w:t>
      </w:r>
      <w:r w:rsidR="00695C77">
        <w:rPr>
          <w:rFonts w:ascii="Aptos" w:hAnsi="Aptos" w:cstheme="minorHAnsi"/>
          <w:sz w:val="21"/>
          <w:szCs w:val="21"/>
        </w:rPr>
        <w:t>.</w:t>
      </w:r>
    </w:p>
    <w:p w14:paraId="7F432774"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34 - Financijski rashodi</w:t>
      </w:r>
    </w:p>
    <w:p w14:paraId="4E4D9669"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U istom izvještajnom razdoblju prošle godine na računima financijskih rashoda evidentirani su rashodi za kamate na poduzetničke kredite, dok su u 2025. godini isti iskazani na računu subvencija, iz čega proizlazi i manje ostvarenje.</w:t>
      </w:r>
    </w:p>
    <w:p w14:paraId="11900AFF"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35 - Subvencije</w:t>
      </w:r>
    </w:p>
    <w:p w14:paraId="5E028BBC"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Za razliku od prošle godine u okviru ovih rashoda evidentirane su subvencije privatnim dječjim vrtićima i subvencije kamata prema Programu poticanja razvoja poduzetništva putem dodjele poduzetničkih kredita te subvencije poljoprivrednicima i obrtnicima, slijedom čega proizlazi i veća realizacija.</w:t>
      </w:r>
    </w:p>
    <w:p w14:paraId="22B7A6DB" w14:textId="77777777" w:rsidR="005A7295" w:rsidRPr="00DD01B2" w:rsidRDefault="005A7295" w:rsidP="005A7295">
      <w:pPr>
        <w:spacing w:before="80" w:after="80"/>
        <w:ind w:left="-425" w:right="-380" w:hanging="1"/>
        <w:jc w:val="both"/>
        <w:rPr>
          <w:rFonts w:asciiTheme="minorHAnsi" w:hAnsiTheme="minorHAnsi" w:cstheme="minorHAnsi"/>
          <w:b/>
          <w:sz w:val="21"/>
          <w:szCs w:val="21"/>
        </w:rPr>
      </w:pPr>
      <w:r w:rsidRPr="00DD01B2">
        <w:rPr>
          <w:rFonts w:ascii="Aptos" w:hAnsi="Aptos" w:cstheme="minorHAnsi"/>
          <w:b/>
          <w:sz w:val="21"/>
          <w:szCs w:val="21"/>
        </w:rPr>
        <w:t>ŠIFRA 36 - Pomoći dane u inozemstvo i unutar općeg proračuna</w:t>
      </w:r>
    </w:p>
    <w:p w14:paraId="7A88E730" w14:textId="7C4AAF50"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U odnosu na izvještajno razdoblje prošle godine evidentno je značajno odstupanje zbog obra</w:t>
      </w:r>
      <w:r w:rsidRPr="00DD01B2">
        <w:rPr>
          <w:rFonts w:ascii="Aptos" w:hAnsi="Aptos" w:cstheme="minorHAnsi" w:hint="eastAsia"/>
          <w:sz w:val="21"/>
          <w:szCs w:val="21"/>
        </w:rPr>
        <w:t>č</w:t>
      </w:r>
      <w:r w:rsidRPr="00DD01B2">
        <w:rPr>
          <w:rFonts w:ascii="Aptos" w:hAnsi="Aptos" w:cstheme="minorHAnsi"/>
          <w:sz w:val="21"/>
          <w:szCs w:val="21"/>
        </w:rPr>
        <w:t>unatih rashoda za produženi boravak koji nisu fakturirani, a terete teku</w:t>
      </w:r>
      <w:r w:rsidRPr="00DD01B2">
        <w:rPr>
          <w:rFonts w:ascii="Aptos" w:hAnsi="Aptos" w:cstheme="minorHAnsi" w:hint="eastAsia"/>
          <w:sz w:val="21"/>
          <w:szCs w:val="21"/>
        </w:rPr>
        <w:t>ć</w:t>
      </w:r>
      <w:r w:rsidRPr="00DD01B2">
        <w:rPr>
          <w:rFonts w:ascii="Aptos" w:hAnsi="Aptos" w:cstheme="minorHAnsi"/>
          <w:sz w:val="21"/>
          <w:szCs w:val="21"/>
        </w:rPr>
        <w:t xml:space="preserve">e razdoblje, sufinanciranja usluga upravljanja </w:t>
      </w:r>
      <w:proofErr w:type="spellStart"/>
      <w:r w:rsidRPr="00DD01B2">
        <w:rPr>
          <w:rFonts w:ascii="Aptos" w:hAnsi="Aptos" w:cstheme="minorHAnsi"/>
          <w:sz w:val="21"/>
          <w:szCs w:val="21"/>
        </w:rPr>
        <w:t>sortirnicom</w:t>
      </w:r>
      <w:proofErr w:type="spellEnd"/>
      <w:r w:rsidRPr="00DD01B2">
        <w:rPr>
          <w:rFonts w:ascii="Aptos" w:hAnsi="Aptos" w:cstheme="minorHAnsi"/>
          <w:sz w:val="21"/>
          <w:szCs w:val="21"/>
        </w:rPr>
        <w:t xml:space="preserve"> </w:t>
      </w:r>
      <w:proofErr w:type="spellStart"/>
      <w:r w:rsidRPr="00DD01B2">
        <w:rPr>
          <w:rFonts w:ascii="Aptos" w:hAnsi="Aptos" w:cstheme="minorHAnsi"/>
          <w:sz w:val="21"/>
          <w:szCs w:val="21"/>
        </w:rPr>
        <w:t>Mihačeva</w:t>
      </w:r>
      <w:proofErr w:type="spellEnd"/>
      <w:r w:rsidRPr="00DD01B2">
        <w:rPr>
          <w:rFonts w:ascii="Aptos" w:hAnsi="Aptos" w:cstheme="minorHAnsi"/>
          <w:sz w:val="21"/>
          <w:szCs w:val="21"/>
        </w:rPr>
        <w:t xml:space="preserve"> Draga prema Dodatku III. Sporazuma sklopljenog s </w:t>
      </w:r>
      <w:proofErr w:type="spellStart"/>
      <w:r w:rsidRPr="00DD01B2">
        <w:rPr>
          <w:rFonts w:ascii="Aptos" w:hAnsi="Aptos" w:cstheme="minorHAnsi"/>
          <w:sz w:val="21"/>
          <w:szCs w:val="21"/>
        </w:rPr>
        <w:t>jednicama</w:t>
      </w:r>
      <w:proofErr w:type="spellEnd"/>
      <w:r w:rsidRPr="00DD01B2">
        <w:rPr>
          <w:rFonts w:ascii="Aptos" w:hAnsi="Aptos" w:cstheme="minorHAnsi"/>
          <w:sz w:val="21"/>
          <w:szCs w:val="21"/>
        </w:rPr>
        <w:t xml:space="preserve"> lokalne samouprave iz riječkog prstena, evidentiranih pomoći Hrvatskim vodama temeljem ugovora o sufinanciranju za NPOO projekt izgradnje komunalne infrastrukture na području pod nadležnošću KD VIK Rijeka</w:t>
      </w:r>
      <w:r w:rsidR="00327C6A" w:rsidRPr="00DD01B2">
        <w:rPr>
          <w:rFonts w:ascii="Aptos" w:hAnsi="Aptos" w:cstheme="minorHAnsi"/>
          <w:sz w:val="21"/>
          <w:szCs w:val="21"/>
        </w:rPr>
        <w:t>, kao i radi sufinanciranje radova na izgradnji poslovne zgrade Županijske lučke uprave Bakar - Kraljevica - Kostrena.</w:t>
      </w:r>
      <w:r w:rsidRPr="00DD01B2">
        <w:rPr>
          <w:rFonts w:ascii="Aptos" w:hAnsi="Aptos" w:cstheme="minorHAnsi"/>
          <w:sz w:val="21"/>
          <w:szCs w:val="21"/>
        </w:rPr>
        <w:t xml:space="preserve"> </w:t>
      </w:r>
    </w:p>
    <w:p w14:paraId="711A0F26" w14:textId="702D2FBE"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Prijenos novčanih sredstava proračunskim korisnicima Grada Bakra – Dječjem vrtiću Bakar i Gradskoj knjižnici Bakar iznosi </w:t>
      </w:r>
      <w:r w:rsidR="00327C6A" w:rsidRPr="00DD01B2">
        <w:rPr>
          <w:rFonts w:ascii="Aptos" w:hAnsi="Aptos" w:cstheme="minorHAnsi"/>
          <w:sz w:val="21"/>
          <w:szCs w:val="21"/>
        </w:rPr>
        <w:t>34,9</w:t>
      </w:r>
      <w:r w:rsidRPr="00DD01B2">
        <w:rPr>
          <w:rFonts w:ascii="Aptos" w:hAnsi="Aptos" w:cstheme="minorHAnsi"/>
          <w:sz w:val="21"/>
          <w:szCs w:val="21"/>
        </w:rPr>
        <w:t>% više nego prošle godine.</w:t>
      </w:r>
    </w:p>
    <w:p w14:paraId="0FC4289B"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37 - Naknade građanima i kućanstvima na temelju osiguranja i druge naknade</w:t>
      </w:r>
    </w:p>
    <w:p w14:paraId="73568943" w14:textId="6A20798B"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Navedene su naknade isplaćene za </w:t>
      </w:r>
      <w:r w:rsidR="00327C6A" w:rsidRPr="00DD01B2">
        <w:rPr>
          <w:rFonts w:ascii="Aptos" w:hAnsi="Aptos" w:cstheme="minorHAnsi"/>
          <w:sz w:val="21"/>
          <w:szCs w:val="21"/>
        </w:rPr>
        <w:t>15,1</w:t>
      </w:r>
      <w:r w:rsidRPr="00DD01B2">
        <w:rPr>
          <w:rFonts w:ascii="Aptos" w:hAnsi="Aptos" w:cstheme="minorHAnsi"/>
          <w:sz w:val="21"/>
          <w:szCs w:val="21"/>
        </w:rPr>
        <w:t xml:space="preserve">% više u odnosu na ostvarenje prošle godine zbog povećanih troškova prijevoza, stanovanja, potrošačke košarice i sl. koji se isplaćuju korisnicima prava iz socijalnog programa Grada Bakra, kao i povećanog cenzusa i broja umirovljenika koji su ostvarili pravo na isplatu </w:t>
      </w:r>
      <w:proofErr w:type="spellStart"/>
      <w:r w:rsidRPr="00DD01B2">
        <w:rPr>
          <w:rFonts w:ascii="Aptos" w:hAnsi="Aptos" w:cstheme="minorHAnsi"/>
          <w:sz w:val="21"/>
          <w:szCs w:val="21"/>
        </w:rPr>
        <w:t>uskrsnice</w:t>
      </w:r>
      <w:proofErr w:type="spellEnd"/>
      <w:r w:rsidR="00327C6A" w:rsidRPr="00DD01B2">
        <w:rPr>
          <w:rFonts w:ascii="Aptos" w:hAnsi="Aptos" w:cstheme="minorHAnsi"/>
          <w:sz w:val="21"/>
          <w:szCs w:val="21"/>
        </w:rPr>
        <w:t xml:space="preserve"> i božićnice</w:t>
      </w:r>
      <w:r w:rsidRPr="00DD01B2">
        <w:rPr>
          <w:rFonts w:ascii="Aptos" w:hAnsi="Aptos" w:cstheme="minorHAnsi"/>
          <w:sz w:val="21"/>
          <w:szCs w:val="21"/>
        </w:rPr>
        <w:t>.</w:t>
      </w:r>
    </w:p>
    <w:p w14:paraId="59DCD011"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38 – Rashodi za donacije , kazne, naknade šteta i kapitalne pomoći</w:t>
      </w:r>
    </w:p>
    <w:p w14:paraId="6C7CA3C7" w14:textId="075F566F" w:rsidR="005A7295" w:rsidRPr="00DD01B2" w:rsidRDefault="002729F6" w:rsidP="002729F6">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Na p</w:t>
      </w:r>
      <w:r w:rsidR="005A7295" w:rsidRPr="00DD01B2">
        <w:rPr>
          <w:rFonts w:ascii="Aptos" w:hAnsi="Aptos" w:cstheme="minorHAnsi"/>
          <w:sz w:val="21"/>
          <w:szCs w:val="21"/>
        </w:rPr>
        <w:t xml:space="preserve">ovećanje u odnosu na prošlo izvještajno razdoblje </w:t>
      </w:r>
      <w:r w:rsidRPr="00DD01B2">
        <w:rPr>
          <w:rFonts w:ascii="Aptos" w:hAnsi="Aptos" w:cstheme="minorHAnsi"/>
          <w:sz w:val="21"/>
          <w:szCs w:val="21"/>
        </w:rPr>
        <w:t xml:space="preserve">utjecala </w:t>
      </w:r>
      <w:r w:rsidR="005A7295" w:rsidRPr="00DD01B2">
        <w:rPr>
          <w:rFonts w:ascii="Aptos" w:hAnsi="Aptos" w:cstheme="minorHAnsi"/>
          <w:sz w:val="21"/>
          <w:szCs w:val="21"/>
        </w:rPr>
        <w:t xml:space="preserve">je kapitalna donaciju Župi Sv. Andrije Apostola u Bakru i HGSS - stanica Rijeka, </w:t>
      </w:r>
      <w:r w:rsidRPr="00DD01B2">
        <w:rPr>
          <w:rFonts w:ascii="Aptos" w:hAnsi="Aptos" w:cstheme="minorHAnsi"/>
          <w:sz w:val="21"/>
          <w:szCs w:val="21"/>
        </w:rPr>
        <w:t xml:space="preserve">kao </w:t>
      </w:r>
      <w:r w:rsidR="005A7295" w:rsidRPr="00DD01B2">
        <w:rPr>
          <w:rFonts w:ascii="Aptos" w:hAnsi="Aptos" w:cstheme="minorHAnsi"/>
          <w:sz w:val="21"/>
          <w:szCs w:val="21"/>
        </w:rPr>
        <w:t>i rashodi za sufinanciranje vodovodnih ogranaka na gradskom području u nadležnosti KD VIK Rijeka.</w:t>
      </w:r>
    </w:p>
    <w:p w14:paraId="04A40CA5" w14:textId="77777777" w:rsidR="005A7295" w:rsidRPr="00DD01B2" w:rsidRDefault="005A7295" w:rsidP="005A7295">
      <w:pPr>
        <w:pBdr>
          <w:top w:val="single" w:sz="4" w:space="1" w:color="auto"/>
          <w:left w:val="single" w:sz="4" w:space="0" w:color="auto"/>
          <w:bottom w:val="single" w:sz="4" w:space="1" w:color="auto"/>
          <w:right w:val="single" w:sz="4" w:space="19" w:color="auto"/>
        </w:pBdr>
        <w:spacing w:before="60" w:after="60"/>
        <w:ind w:left="-425"/>
        <w:jc w:val="center"/>
        <w:rPr>
          <w:rFonts w:ascii="Aptos" w:hAnsi="Aptos" w:cstheme="minorHAnsi"/>
          <w:b/>
          <w:sz w:val="21"/>
          <w:szCs w:val="21"/>
        </w:rPr>
      </w:pPr>
      <w:r w:rsidRPr="00DD01B2">
        <w:rPr>
          <w:rFonts w:ascii="Aptos" w:hAnsi="Aptos" w:cstheme="minorHAnsi"/>
          <w:b/>
          <w:sz w:val="21"/>
          <w:szCs w:val="21"/>
        </w:rPr>
        <w:t>PRIHODI OD PRODAJE NEFINANCIJSKE IMOVINE</w:t>
      </w:r>
    </w:p>
    <w:p w14:paraId="2485D974" w14:textId="77777777" w:rsidR="005A7295" w:rsidRPr="00DD01B2" w:rsidRDefault="005A7295" w:rsidP="005A7295">
      <w:pPr>
        <w:spacing w:before="80" w:after="80"/>
        <w:ind w:left="-425" w:right="-380" w:hanging="1"/>
        <w:jc w:val="both"/>
        <w:rPr>
          <w:rFonts w:ascii="Aptos" w:hAnsi="Aptos" w:cstheme="minorHAnsi"/>
          <w:b/>
          <w:sz w:val="21"/>
          <w:szCs w:val="21"/>
        </w:rPr>
      </w:pPr>
      <w:r w:rsidRPr="00DD01B2">
        <w:rPr>
          <w:rFonts w:ascii="Aptos" w:hAnsi="Aptos" w:cstheme="minorHAnsi"/>
          <w:b/>
          <w:sz w:val="21"/>
          <w:szCs w:val="21"/>
        </w:rPr>
        <w:t>ŠIFRA 7 – Prihodi od prodaje nefinancijske imovine</w:t>
      </w:r>
    </w:p>
    <w:p w14:paraId="3DF403DE" w14:textId="24FEE097" w:rsidR="005A7295"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U navedenom razdoblju ostvarenje prihoda od prodaje nefinancijske imovine iznosi </w:t>
      </w:r>
      <w:r w:rsidR="002729F6" w:rsidRPr="00DD01B2">
        <w:rPr>
          <w:rFonts w:ascii="Aptos" w:hAnsi="Aptos" w:cstheme="minorHAnsi"/>
          <w:sz w:val="21"/>
          <w:szCs w:val="21"/>
        </w:rPr>
        <w:t>280.163,04</w:t>
      </w:r>
      <w:r w:rsidRPr="00DD01B2">
        <w:rPr>
          <w:rFonts w:ascii="Aptos" w:hAnsi="Aptos" w:cstheme="minorHAnsi"/>
          <w:sz w:val="21"/>
          <w:szCs w:val="21"/>
        </w:rPr>
        <w:t xml:space="preserve"> €, što je znatno više nego u istom razdoblju prošle godine, a navedeno ostvarenje obuhvaća prihode od prodaje zemljišta u vlasništvu Grada Bakra od </w:t>
      </w:r>
      <w:r w:rsidR="002729F6" w:rsidRPr="00DD01B2">
        <w:rPr>
          <w:rFonts w:ascii="Aptos" w:hAnsi="Aptos" w:cstheme="minorHAnsi"/>
          <w:sz w:val="21"/>
          <w:szCs w:val="21"/>
        </w:rPr>
        <w:t>279.948,23</w:t>
      </w:r>
      <w:r w:rsidRPr="00DD01B2">
        <w:rPr>
          <w:rFonts w:ascii="Aptos" w:hAnsi="Aptos" w:cstheme="minorHAnsi"/>
          <w:sz w:val="21"/>
          <w:szCs w:val="21"/>
        </w:rPr>
        <w:t xml:space="preserve"> €, kao i naplaćene mjesečne anuitete po otplatama kredita građana koji su od Grada Bakra kupili stanove iz razdoblja 1996 - 1998. godine u iznosu od </w:t>
      </w:r>
      <w:r w:rsidR="002729F6" w:rsidRPr="00DD01B2">
        <w:rPr>
          <w:rFonts w:ascii="Aptos" w:hAnsi="Aptos" w:cstheme="minorHAnsi"/>
          <w:sz w:val="21"/>
          <w:szCs w:val="21"/>
        </w:rPr>
        <w:t>214,81</w:t>
      </w:r>
      <w:r w:rsidRPr="00DD01B2">
        <w:rPr>
          <w:rFonts w:ascii="Aptos" w:hAnsi="Aptos" w:cstheme="minorHAnsi"/>
          <w:sz w:val="21"/>
          <w:szCs w:val="21"/>
        </w:rPr>
        <w:t xml:space="preserve"> €.</w:t>
      </w:r>
    </w:p>
    <w:p w14:paraId="6AAF1E26" w14:textId="77777777" w:rsidR="00AE46BF" w:rsidRDefault="00AE46BF" w:rsidP="005A7295">
      <w:pPr>
        <w:spacing w:before="60" w:after="60"/>
        <w:ind w:left="-425" w:right="-380" w:firstLine="284"/>
        <w:jc w:val="both"/>
        <w:rPr>
          <w:rFonts w:ascii="Aptos" w:hAnsi="Aptos" w:cstheme="minorHAnsi"/>
          <w:sz w:val="21"/>
          <w:szCs w:val="21"/>
        </w:rPr>
      </w:pPr>
    </w:p>
    <w:p w14:paraId="24BD63DA" w14:textId="77777777" w:rsidR="00AE46BF" w:rsidRDefault="00AE46BF" w:rsidP="005A7295">
      <w:pPr>
        <w:spacing w:before="60" w:after="60"/>
        <w:ind w:left="-425" w:right="-380" w:firstLine="284"/>
        <w:jc w:val="both"/>
        <w:rPr>
          <w:rFonts w:ascii="Aptos" w:hAnsi="Aptos" w:cstheme="minorHAnsi"/>
          <w:sz w:val="21"/>
          <w:szCs w:val="21"/>
        </w:rPr>
      </w:pPr>
    </w:p>
    <w:p w14:paraId="3F4B2E8D" w14:textId="77777777" w:rsidR="00AE46BF" w:rsidRPr="00DD01B2" w:rsidRDefault="00AE46BF" w:rsidP="005A7295">
      <w:pPr>
        <w:spacing w:before="60" w:after="60"/>
        <w:ind w:left="-425" w:right="-380" w:firstLine="284"/>
        <w:jc w:val="both"/>
        <w:rPr>
          <w:rFonts w:ascii="Aptos" w:hAnsi="Aptos" w:cstheme="minorHAnsi"/>
          <w:sz w:val="21"/>
          <w:szCs w:val="21"/>
        </w:rPr>
      </w:pPr>
    </w:p>
    <w:p w14:paraId="5545357D" w14:textId="77777777" w:rsidR="005A7295" w:rsidRPr="00DD01B2" w:rsidRDefault="005A7295" w:rsidP="005A7295">
      <w:pPr>
        <w:pBdr>
          <w:top w:val="single" w:sz="4" w:space="1" w:color="auto"/>
          <w:left w:val="single" w:sz="4" w:space="0" w:color="auto"/>
          <w:bottom w:val="single" w:sz="4" w:space="1" w:color="auto"/>
          <w:right w:val="single" w:sz="4" w:space="19" w:color="auto"/>
        </w:pBdr>
        <w:spacing w:before="60" w:after="60"/>
        <w:ind w:left="-425"/>
        <w:jc w:val="center"/>
        <w:rPr>
          <w:rFonts w:ascii="Aptos" w:hAnsi="Aptos" w:cstheme="minorHAnsi"/>
          <w:b/>
          <w:sz w:val="21"/>
          <w:szCs w:val="21"/>
        </w:rPr>
      </w:pPr>
      <w:r w:rsidRPr="00DD01B2">
        <w:rPr>
          <w:rFonts w:ascii="Aptos" w:hAnsi="Aptos" w:cstheme="minorHAnsi"/>
          <w:b/>
          <w:sz w:val="21"/>
          <w:szCs w:val="21"/>
        </w:rPr>
        <w:lastRenderedPageBreak/>
        <w:t>RASHODI ZA NABAVU NEFINANCIJSKE IMOVINE</w:t>
      </w:r>
    </w:p>
    <w:p w14:paraId="5B21CE15" w14:textId="77777777" w:rsidR="005A7295" w:rsidRPr="00DD01B2" w:rsidRDefault="005A7295" w:rsidP="005A7295">
      <w:pPr>
        <w:pStyle w:val="Tijeloteksta-uvlaka3"/>
        <w:spacing w:before="60" w:after="60"/>
        <w:ind w:left="-426" w:firstLine="0"/>
        <w:rPr>
          <w:rFonts w:ascii="Aptos" w:hAnsi="Aptos" w:cstheme="minorHAnsi"/>
          <w:b/>
          <w:sz w:val="21"/>
          <w:szCs w:val="21"/>
        </w:rPr>
      </w:pPr>
      <w:r w:rsidRPr="00DD01B2">
        <w:rPr>
          <w:rFonts w:ascii="Aptos" w:hAnsi="Aptos" w:cstheme="minorHAnsi"/>
          <w:b/>
          <w:sz w:val="21"/>
          <w:szCs w:val="21"/>
        </w:rPr>
        <w:t xml:space="preserve">ŠIFRA 41 – </w:t>
      </w:r>
      <w:proofErr w:type="spellStart"/>
      <w:r w:rsidRPr="00DD01B2">
        <w:rPr>
          <w:rFonts w:ascii="Aptos" w:hAnsi="Aptos" w:cstheme="minorHAnsi"/>
          <w:b/>
          <w:sz w:val="21"/>
          <w:szCs w:val="21"/>
        </w:rPr>
        <w:t>Rashodi</w:t>
      </w:r>
      <w:proofErr w:type="spellEnd"/>
      <w:r w:rsidRPr="00DD01B2">
        <w:rPr>
          <w:rFonts w:ascii="Aptos" w:hAnsi="Aptos" w:cstheme="minorHAnsi"/>
          <w:b/>
          <w:sz w:val="21"/>
          <w:szCs w:val="21"/>
        </w:rPr>
        <w:t xml:space="preserve"> za </w:t>
      </w:r>
      <w:proofErr w:type="spellStart"/>
      <w:r w:rsidRPr="00DD01B2">
        <w:rPr>
          <w:rFonts w:ascii="Aptos" w:hAnsi="Aptos" w:cstheme="minorHAnsi"/>
          <w:b/>
          <w:sz w:val="21"/>
          <w:szCs w:val="21"/>
        </w:rPr>
        <w:t>nabavu</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neproizvedene</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dugotrajne</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imovine</w:t>
      </w:r>
      <w:proofErr w:type="spellEnd"/>
    </w:p>
    <w:p w14:paraId="3AEBD505" w14:textId="1CFACA92"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Ovi su rashodi ostvareni u </w:t>
      </w:r>
      <w:r w:rsidR="002729F6" w:rsidRPr="00DD01B2">
        <w:rPr>
          <w:rFonts w:ascii="Aptos" w:hAnsi="Aptos" w:cstheme="minorHAnsi"/>
          <w:sz w:val="21"/>
          <w:szCs w:val="21"/>
        </w:rPr>
        <w:t>većem</w:t>
      </w:r>
      <w:r w:rsidRPr="00DD01B2">
        <w:rPr>
          <w:rFonts w:ascii="Aptos" w:hAnsi="Aptos" w:cstheme="minorHAnsi"/>
          <w:sz w:val="21"/>
          <w:szCs w:val="21"/>
        </w:rPr>
        <w:t xml:space="preserve"> iznosu nego prošle godine, a ovise o postupcima izvlaštenja zemljišta radi izgradnje komunalne i ostale infrastrukture.</w:t>
      </w:r>
    </w:p>
    <w:p w14:paraId="0457EF0C" w14:textId="77777777" w:rsidR="005A7295" w:rsidRPr="00DD01B2" w:rsidRDefault="005A7295" w:rsidP="005A7295">
      <w:pPr>
        <w:pStyle w:val="Tijeloteksta-uvlaka3"/>
        <w:spacing w:before="60" w:after="60"/>
        <w:ind w:left="-426" w:firstLine="0"/>
        <w:rPr>
          <w:rFonts w:ascii="Aptos" w:hAnsi="Aptos" w:cstheme="minorHAnsi"/>
          <w:b/>
          <w:sz w:val="21"/>
          <w:szCs w:val="21"/>
        </w:rPr>
      </w:pPr>
      <w:r w:rsidRPr="00DD01B2">
        <w:rPr>
          <w:rFonts w:ascii="Aptos" w:hAnsi="Aptos" w:cstheme="minorHAnsi"/>
          <w:b/>
          <w:sz w:val="21"/>
          <w:szCs w:val="21"/>
        </w:rPr>
        <w:t xml:space="preserve">ŠIFRA 42 – </w:t>
      </w:r>
      <w:proofErr w:type="spellStart"/>
      <w:r w:rsidRPr="00DD01B2">
        <w:rPr>
          <w:rFonts w:ascii="Aptos" w:hAnsi="Aptos" w:cstheme="minorHAnsi"/>
          <w:b/>
          <w:sz w:val="21"/>
          <w:szCs w:val="21"/>
        </w:rPr>
        <w:t>Rashodi</w:t>
      </w:r>
      <w:proofErr w:type="spellEnd"/>
      <w:r w:rsidRPr="00DD01B2">
        <w:rPr>
          <w:rFonts w:ascii="Aptos" w:hAnsi="Aptos" w:cstheme="minorHAnsi"/>
          <w:b/>
          <w:sz w:val="21"/>
          <w:szCs w:val="21"/>
        </w:rPr>
        <w:t xml:space="preserve"> za </w:t>
      </w:r>
      <w:proofErr w:type="spellStart"/>
      <w:r w:rsidRPr="00DD01B2">
        <w:rPr>
          <w:rFonts w:ascii="Aptos" w:hAnsi="Aptos" w:cstheme="minorHAnsi"/>
          <w:b/>
          <w:sz w:val="21"/>
          <w:szCs w:val="21"/>
        </w:rPr>
        <w:t>nabavu</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proizvedene</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dugotrajne</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imovine</w:t>
      </w:r>
      <w:proofErr w:type="spellEnd"/>
    </w:p>
    <w:p w14:paraId="3C7A44C0" w14:textId="22590E3E"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U odnosu na prošlu godinu ovi su rashodi </w:t>
      </w:r>
      <w:r w:rsidR="002729F6" w:rsidRPr="00DD01B2">
        <w:rPr>
          <w:rFonts w:ascii="Aptos" w:hAnsi="Aptos" w:cstheme="minorHAnsi"/>
          <w:sz w:val="21"/>
          <w:szCs w:val="21"/>
        </w:rPr>
        <w:t xml:space="preserve">manji obzirom da su prošle godine ostvarena značajna sredstva na izgradnji kanalizacijskog sustava. U ovoj godini rashodi se odnose na </w:t>
      </w:r>
      <w:r w:rsidRPr="00DD01B2">
        <w:rPr>
          <w:rFonts w:ascii="Aptos" w:hAnsi="Aptos" w:cstheme="minorHAnsi"/>
          <w:sz w:val="21"/>
          <w:szCs w:val="21"/>
        </w:rPr>
        <w:t>izgradnj</w:t>
      </w:r>
      <w:r w:rsidR="002729F6" w:rsidRPr="00DD01B2">
        <w:rPr>
          <w:rFonts w:ascii="Aptos" w:hAnsi="Aptos" w:cstheme="minorHAnsi"/>
          <w:sz w:val="21"/>
          <w:szCs w:val="21"/>
        </w:rPr>
        <w:t>u</w:t>
      </w:r>
      <w:r w:rsidRPr="00DD01B2">
        <w:rPr>
          <w:rFonts w:ascii="Aptos" w:hAnsi="Aptos" w:cstheme="minorHAnsi"/>
          <w:sz w:val="21"/>
          <w:szCs w:val="21"/>
        </w:rPr>
        <w:t xml:space="preserve"> prometne infrastrukture za plato A7 u Industrijskoj zoni Kukuljanovo, izgradnju sustava navodnjavanja za nogometno igralište NK Borac Bakar, </w:t>
      </w:r>
      <w:r w:rsidR="002729F6" w:rsidRPr="00DD01B2">
        <w:rPr>
          <w:rFonts w:ascii="Aptos" w:hAnsi="Aptos" w:cstheme="minorHAnsi"/>
          <w:sz w:val="21"/>
          <w:szCs w:val="21"/>
        </w:rPr>
        <w:t xml:space="preserve">izgradnju Vatrogasnog doma </w:t>
      </w:r>
      <w:proofErr w:type="spellStart"/>
      <w:r w:rsidR="002729F6" w:rsidRPr="00DD01B2">
        <w:rPr>
          <w:rFonts w:ascii="Aptos" w:hAnsi="Aptos" w:cstheme="minorHAnsi"/>
          <w:sz w:val="21"/>
          <w:szCs w:val="21"/>
        </w:rPr>
        <w:t>Hreljin</w:t>
      </w:r>
      <w:proofErr w:type="spellEnd"/>
      <w:r w:rsidR="002729F6" w:rsidRPr="00DD01B2">
        <w:rPr>
          <w:rFonts w:ascii="Aptos" w:hAnsi="Aptos" w:cstheme="minorHAnsi"/>
          <w:sz w:val="21"/>
          <w:szCs w:val="21"/>
        </w:rPr>
        <w:t xml:space="preserve">, </w:t>
      </w:r>
      <w:r w:rsidRPr="00DD01B2">
        <w:rPr>
          <w:rFonts w:ascii="Aptos" w:hAnsi="Aptos" w:cstheme="minorHAnsi"/>
          <w:sz w:val="21"/>
          <w:szCs w:val="21"/>
        </w:rPr>
        <w:t>nabavu opreme za sustav videonadzora javnih površina u Bakru, uređenje i nabavu opreme za dječje igralište u Bakru i sl. U okviru ovih rashoda nabavljen je rabljeni službeni automobil za potrebe gradske uprave, dok je za rashode ulaganja u računalne programe utvrđeno veće ostvarenje zbog uvođenja novog programa za upravljanje prihodima WEB tehnologija.</w:t>
      </w:r>
    </w:p>
    <w:p w14:paraId="39AC45BA" w14:textId="77777777" w:rsidR="005A7295" w:rsidRPr="00DD01B2" w:rsidRDefault="005A7295" w:rsidP="005A7295">
      <w:pPr>
        <w:pStyle w:val="Tijeloteksta-uvlaka3"/>
        <w:spacing w:before="60" w:after="60"/>
        <w:ind w:left="-426" w:firstLine="0"/>
        <w:rPr>
          <w:rFonts w:ascii="Aptos" w:hAnsi="Aptos" w:cstheme="minorHAnsi"/>
          <w:b/>
          <w:sz w:val="21"/>
          <w:szCs w:val="21"/>
        </w:rPr>
      </w:pPr>
      <w:r w:rsidRPr="00DD01B2">
        <w:rPr>
          <w:rFonts w:ascii="Aptos" w:hAnsi="Aptos" w:cstheme="minorHAnsi"/>
          <w:b/>
          <w:sz w:val="21"/>
          <w:szCs w:val="21"/>
        </w:rPr>
        <w:t xml:space="preserve">ŠIFRA 45 – </w:t>
      </w:r>
      <w:proofErr w:type="spellStart"/>
      <w:r w:rsidRPr="00DD01B2">
        <w:rPr>
          <w:rFonts w:ascii="Aptos" w:hAnsi="Aptos" w:cstheme="minorHAnsi"/>
          <w:b/>
          <w:sz w:val="21"/>
          <w:szCs w:val="21"/>
        </w:rPr>
        <w:t>Rashodi</w:t>
      </w:r>
      <w:proofErr w:type="spellEnd"/>
      <w:r w:rsidRPr="00DD01B2">
        <w:rPr>
          <w:rFonts w:ascii="Aptos" w:hAnsi="Aptos" w:cstheme="minorHAnsi"/>
          <w:b/>
          <w:sz w:val="21"/>
          <w:szCs w:val="21"/>
        </w:rPr>
        <w:t xml:space="preserve"> za </w:t>
      </w:r>
      <w:proofErr w:type="spellStart"/>
      <w:r w:rsidRPr="00DD01B2">
        <w:rPr>
          <w:rFonts w:ascii="Aptos" w:hAnsi="Aptos" w:cstheme="minorHAnsi"/>
          <w:b/>
          <w:sz w:val="21"/>
          <w:szCs w:val="21"/>
        </w:rPr>
        <w:t>dodatna</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ulaganja</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na</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nefinancijskoj</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imovini</w:t>
      </w:r>
      <w:proofErr w:type="spellEnd"/>
    </w:p>
    <w:p w14:paraId="20FBD174" w14:textId="77777777" w:rsidR="005A7295" w:rsidRPr="00DD01B2" w:rsidRDefault="005A7295" w:rsidP="005A7295">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Povećanje rashoda za dodatna ulaganja na građevinskim objektima u odnosu na prošlogodišnje izvještajno razdoblje rezultat je početka radova na rekonstrukciji i dogradnji Doma kulture Kukuljanovo te investicijskog održavanja poslovnih prostora, drugih domova kulture i sportskih terena.</w:t>
      </w:r>
    </w:p>
    <w:p w14:paraId="779F23A8" w14:textId="77777777" w:rsidR="005A7295" w:rsidRPr="00DD01B2" w:rsidRDefault="005A7295" w:rsidP="005A7295">
      <w:pPr>
        <w:pBdr>
          <w:top w:val="single" w:sz="4" w:space="1" w:color="auto"/>
          <w:left w:val="single" w:sz="4" w:space="0" w:color="auto"/>
          <w:bottom w:val="single" w:sz="4" w:space="1" w:color="auto"/>
          <w:right w:val="single" w:sz="4" w:space="19" w:color="auto"/>
        </w:pBdr>
        <w:spacing w:before="60" w:after="60"/>
        <w:ind w:left="-425"/>
        <w:jc w:val="center"/>
        <w:rPr>
          <w:rFonts w:ascii="Aptos" w:hAnsi="Aptos" w:cstheme="minorHAnsi"/>
          <w:b/>
          <w:sz w:val="21"/>
          <w:szCs w:val="21"/>
        </w:rPr>
      </w:pPr>
      <w:r w:rsidRPr="00DD01B2">
        <w:rPr>
          <w:rFonts w:ascii="Aptos" w:hAnsi="Aptos" w:cstheme="minorHAnsi"/>
          <w:b/>
          <w:sz w:val="21"/>
          <w:szCs w:val="21"/>
        </w:rPr>
        <w:t>IZDACI ZA FINANCIJSKU IMOVINU I OTPLATE ZAJMOVA</w:t>
      </w:r>
    </w:p>
    <w:p w14:paraId="2F27E00A" w14:textId="77777777" w:rsidR="005A7295" w:rsidRPr="00DD01B2" w:rsidRDefault="005A7295" w:rsidP="005A7295">
      <w:pPr>
        <w:pStyle w:val="Tijeloteksta-uvlaka3"/>
        <w:spacing w:before="60" w:after="60"/>
        <w:ind w:left="-426" w:firstLine="0"/>
        <w:rPr>
          <w:rFonts w:ascii="Aptos" w:hAnsi="Aptos" w:cstheme="minorHAnsi"/>
          <w:b/>
          <w:sz w:val="21"/>
          <w:szCs w:val="21"/>
        </w:rPr>
      </w:pPr>
      <w:r w:rsidRPr="00DD01B2">
        <w:rPr>
          <w:rFonts w:ascii="Aptos" w:hAnsi="Aptos" w:cstheme="minorHAnsi"/>
          <w:b/>
          <w:sz w:val="21"/>
          <w:szCs w:val="21"/>
        </w:rPr>
        <w:t xml:space="preserve">ŠIFRA 5 – </w:t>
      </w:r>
      <w:proofErr w:type="spellStart"/>
      <w:r w:rsidRPr="00DD01B2">
        <w:rPr>
          <w:rFonts w:ascii="Aptos" w:hAnsi="Aptos" w:cstheme="minorHAnsi"/>
          <w:b/>
          <w:sz w:val="21"/>
          <w:szCs w:val="21"/>
        </w:rPr>
        <w:t>Izdaci</w:t>
      </w:r>
      <w:proofErr w:type="spellEnd"/>
      <w:r w:rsidRPr="00DD01B2">
        <w:rPr>
          <w:rFonts w:ascii="Aptos" w:hAnsi="Aptos" w:cstheme="minorHAnsi"/>
          <w:b/>
          <w:sz w:val="21"/>
          <w:szCs w:val="21"/>
        </w:rPr>
        <w:t xml:space="preserve"> za </w:t>
      </w:r>
      <w:proofErr w:type="spellStart"/>
      <w:r w:rsidRPr="00DD01B2">
        <w:rPr>
          <w:rFonts w:ascii="Aptos" w:hAnsi="Aptos" w:cstheme="minorHAnsi"/>
          <w:b/>
          <w:sz w:val="21"/>
          <w:szCs w:val="21"/>
        </w:rPr>
        <w:t>financijsku</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imovinu</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i</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otplate</w:t>
      </w:r>
      <w:proofErr w:type="spellEnd"/>
      <w:r w:rsidRPr="00DD01B2">
        <w:rPr>
          <w:rFonts w:ascii="Aptos" w:hAnsi="Aptos" w:cstheme="minorHAnsi"/>
          <w:b/>
          <w:sz w:val="21"/>
          <w:szCs w:val="21"/>
        </w:rPr>
        <w:t xml:space="preserve"> </w:t>
      </w:r>
      <w:proofErr w:type="spellStart"/>
      <w:r w:rsidRPr="00DD01B2">
        <w:rPr>
          <w:rFonts w:ascii="Aptos" w:hAnsi="Aptos" w:cstheme="minorHAnsi"/>
          <w:b/>
          <w:sz w:val="21"/>
          <w:szCs w:val="21"/>
        </w:rPr>
        <w:t>zajmova</w:t>
      </w:r>
      <w:proofErr w:type="spellEnd"/>
    </w:p>
    <w:p w14:paraId="60C0640A" w14:textId="07AEF897" w:rsidR="008C15FB" w:rsidRDefault="005A7295" w:rsidP="00AE46BF">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Izdaci za financijsku imovinu i otplate zajmova realizirani su u manjem iznosu nego prošle godine, obzirom da je prema nalogu Državnog ureda za reviziju u okviru ovih izdataka izvršeno </w:t>
      </w:r>
      <w:proofErr w:type="spellStart"/>
      <w:r w:rsidRPr="00DD01B2">
        <w:rPr>
          <w:rFonts w:ascii="Aptos" w:hAnsi="Aptos" w:cstheme="minorHAnsi"/>
          <w:sz w:val="21"/>
          <w:szCs w:val="21"/>
        </w:rPr>
        <w:t>preknjiženje</w:t>
      </w:r>
      <w:proofErr w:type="spellEnd"/>
      <w:r w:rsidRPr="00DD01B2">
        <w:rPr>
          <w:rFonts w:ascii="Aptos" w:hAnsi="Aptos" w:cstheme="minorHAnsi"/>
          <w:sz w:val="21"/>
          <w:szCs w:val="21"/>
        </w:rPr>
        <w:t xml:space="preserve"> izdataka za udjele u glavnici trgovačkih društava u javnom sektoru odnosno sredstva za financiranje građenja vodovodnih ogranaka na račun kapitalnih pomoći trgovačkim društvima u javnom sektoru</w:t>
      </w:r>
      <w:r w:rsidR="00AE46BF">
        <w:rPr>
          <w:rFonts w:ascii="Aptos" w:hAnsi="Aptos" w:cstheme="minorHAnsi"/>
          <w:sz w:val="21"/>
          <w:szCs w:val="21"/>
        </w:rPr>
        <w:t>.</w:t>
      </w:r>
    </w:p>
    <w:p w14:paraId="22A559DF" w14:textId="77777777" w:rsidR="00AE46BF" w:rsidRDefault="00AE46BF" w:rsidP="00AE46BF">
      <w:pPr>
        <w:spacing w:before="80" w:after="80"/>
        <w:ind w:right="-380"/>
        <w:rPr>
          <w:rFonts w:ascii="Aptos" w:hAnsi="Aptos" w:cs="Calibri"/>
          <w:b/>
          <w:bCs/>
          <w:color w:val="000000"/>
          <w:sz w:val="21"/>
          <w:szCs w:val="21"/>
        </w:rPr>
      </w:pPr>
    </w:p>
    <w:p w14:paraId="12F20792" w14:textId="29B331F6" w:rsidR="00AE46BF" w:rsidRPr="00DD01B2" w:rsidRDefault="00AE46BF" w:rsidP="00AE46BF">
      <w:pPr>
        <w:shd w:val="clear" w:color="auto" w:fill="D9D9D9" w:themeFill="background1" w:themeFillShade="D9"/>
        <w:spacing w:before="60" w:after="60"/>
        <w:ind w:left="-425" w:right="-380"/>
        <w:jc w:val="both"/>
        <w:rPr>
          <w:rFonts w:ascii="Aptos" w:hAnsi="Aptos" w:cstheme="minorHAnsi"/>
          <w:b/>
          <w:sz w:val="21"/>
          <w:szCs w:val="21"/>
        </w:rPr>
      </w:pPr>
      <w:r>
        <w:rPr>
          <w:rFonts w:ascii="Aptos" w:hAnsi="Aptos" w:cstheme="minorHAnsi"/>
          <w:b/>
          <w:sz w:val="21"/>
          <w:szCs w:val="21"/>
        </w:rPr>
        <w:t>B</w:t>
      </w:r>
      <w:r w:rsidRPr="00DD01B2">
        <w:rPr>
          <w:rFonts w:ascii="Aptos" w:hAnsi="Aptos" w:cstheme="minorHAnsi"/>
          <w:b/>
          <w:sz w:val="21"/>
          <w:szCs w:val="21"/>
        </w:rPr>
        <w:t xml:space="preserve">/  BILJEŠKE UZ </w:t>
      </w:r>
      <w:r>
        <w:rPr>
          <w:rFonts w:ascii="Aptos" w:hAnsi="Aptos" w:cstheme="minorHAnsi"/>
          <w:b/>
          <w:sz w:val="21"/>
          <w:szCs w:val="21"/>
        </w:rPr>
        <w:t>BILANCU</w:t>
      </w:r>
      <w:r w:rsidRPr="00DD01B2">
        <w:rPr>
          <w:rFonts w:ascii="Aptos" w:hAnsi="Aptos" w:cstheme="minorHAnsi"/>
          <w:b/>
          <w:sz w:val="21"/>
          <w:szCs w:val="21"/>
        </w:rPr>
        <w:t xml:space="preserve"> </w:t>
      </w:r>
    </w:p>
    <w:p w14:paraId="05BBDBF5" w14:textId="325ED0F3" w:rsidR="00AE46BF" w:rsidRPr="00AE46BF" w:rsidRDefault="00AE46BF" w:rsidP="00AE46BF">
      <w:pPr>
        <w:pBdr>
          <w:top w:val="single" w:sz="4" w:space="1" w:color="auto"/>
          <w:left w:val="single" w:sz="4" w:space="0" w:color="auto"/>
          <w:bottom w:val="single" w:sz="4" w:space="1" w:color="auto"/>
          <w:right w:val="single" w:sz="4" w:space="19" w:color="auto"/>
        </w:pBdr>
        <w:spacing w:before="120" w:after="60"/>
        <w:ind w:left="-425"/>
        <w:jc w:val="center"/>
        <w:rPr>
          <w:rFonts w:ascii="Aptos" w:hAnsi="Aptos" w:cstheme="minorHAnsi"/>
          <w:b/>
          <w:sz w:val="21"/>
          <w:szCs w:val="21"/>
        </w:rPr>
      </w:pPr>
      <w:r w:rsidRPr="00DD01B2">
        <w:rPr>
          <w:rFonts w:ascii="Aptos" w:hAnsi="Aptos" w:cstheme="minorHAnsi"/>
          <w:b/>
          <w:sz w:val="21"/>
          <w:szCs w:val="21"/>
        </w:rPr>
        <w:t>UVODNA BILJEŠKA</w:t>
      </w:r>
    </w:p>
    <w:p w14:paraId="7FB27862" w14:textId="157614A0" w:rsidR="009409B0" w:rsidRPr="00467A41" w:rsidRDefault="009409B0" w:rsidP="00D51A7F">
      <w:pPr>
        <w:spacing w:before="60" w:after="60"/>
        <w:ind w:left="-425" w:right="-380" w:firstLine="284"/>
        <w:jc w:val="both"/>
        <w:rPr>
          <w:rFonts w:ascii="Aptos" w:hAnsi="Aptos" w:cstheme="minorHAnsi"/>
          <w:sz w:val="21"/>
          <w:szCs w:val="21"/>
        </w:rPr>
      </w:pPr>
      <w:r w:rsidRPr="00467A41">
        <w:rPr>
          <w:rFonts w:ascii="Aptos" w:hAnsi="Aptos" w:cstheme="minorHAnsi"/>
          <w:sz w:val="21"/>
          <w:szCs w:val="21"/>
        </w:rPr>
        <w:t>Analizom financijskih podataka iz bilance na dan 31.12.20</w:t>
      </w:r>
      <w:r w:rsidR="000612DB" w:rsidRPr="00467A41">
        <w:rPr>
          <w:rFonts w:ascii="Aptos" w:hAnsi="Aptos" w:cstheme="minorHAnsi"/>
          <w:sz w:val="21"/>
          <w:szCs w:val="21"/>
        </w:rPr>
        <w:t>2</w:t>
      </w:r>
      <w:r w:rsidR="00AE46BF" w:rsidRPr="00467A41">
        <w:rPr>
          <w:rFonts w:ascii="Aptos" w:hAnsi="Aptos" w:cstheme="minorHAnsi"/>
          <w:sz w:val="21"/>
          <w:szCs w:val="21"/>
        </w:rPr>
        <w:t>5</w:t>
      </w:r>
      <w:r w:rsidRPr="00467A41">
        <w:rPr>
          <w:rFonts w:ascii="Aptos" w:hAnsi="Aptos" w:cstheme="minorHAnsi"/>
          <w:sz w:val="21"/>
          <w:szCs w:val="21"/>
        </w:rPr>
        <w:t>. godine utvrđeno je:</w:t>
      </w:r>
    </w:p>
    <w:p w14:paraId="7CC13BD0" w14:textId="17FDD9C2" w:rsidR="009409B0" w:rsidRPr="00467A41" w:rsidRDefault="009409B0" w:rsidP="00D51A7F">
      <w:pPr>
        <w:pStyle w:val="Odlomakpopisa"/>
        <w:numPr>
          <w:ilvl w:val="0"/>
          <w:numId w:val="12"/>
        </w:numPr>
        <w:spacing w:before="60" w:after="60"/>
        <w:ind w:left="0" w:right="-380" w:hanging="284"/>
        <w:contextualSpacing w:val="0"/>
        <w:jc w:val="both"/>
        <w:rPr>
          <w:rFonts w:ascii="Aptos" w:hAnsi="Aptos" w:cstheme="minorHAnsi"/>
          <w:sz w:val="21"/>
          <w:szCs w:val="21"/>
        </w:rPr>
      </w:pPr>
      <w:r w:rsidRPr="00467A41">
        <w:rPr>
          <w:rFonts w:ascii="Aptos" w:hAnsi="Aptos" w:cstheme="minorHAnsi"/>
          <w:sz w:val="21"/>
          <w:szCs w:val="21"/>
        </w:rPr>
        <w:t>Stanje</w:t>
      </w:r>
      <w:r w:rsidR="006F0501" w:rsidRPr="00467A41">
        <w:rPr>
          <w:rFonts w:ascii="Aptos" w:hAnsi="Aptos" w:cstheme="minorHAnsi"/>
          <w:sz w:val="21"/>
          <w:szCs w:val="21"/>
        </w:rPr>
        <w:t xml:space="preserve"> nefinancijske</w:t>
      </w:r>
      <w:r w:rsidRPr="00467A41">
        <w:rPr>
          <w:rFonts w:ascii="Aptos" w:hAnsi="Aptos" w:cstheme="minorHAnsi"/>
          <w:sz w:val="21"/>
          <w:szCs w:val="21"/>
        </w:rPr>
        <w:t xml:space="preserve"> imovine </w:t>
      </w:r>
      <w:r w:rsidR="005F5A9D" w:rsidRPr="00467A41">
        <w:rPr>
          <w:rFonts w:ascii="Aptos" w:hAnsi="Aptos" w:cstheme="minorHAnsi"/>
          <w:sz w:val="21"/>
          <w:szCs w:val="21"/>
        </w:rPr>
        <w:t>– šifra B00</w:t>
      </w:r>
      <w:r w:rsidR="006F0501" w:rsidRPr="00467A41">
        <w:rPr>
          <w:rFonts w:ascii="Aptos" w:hAnsi="Aptos" w:cstheme="minorHAnsi"/>
          <w:sz w:val="21"/>
          <w:szCs w:val="21"/>
        </w:rPr>
        <w:t>2</w:t>
      </w:r>
      <w:r w:rsidR="005F5A9D" w:rsidRPr="00467A41">
        <w:rPr>
          <w:rFonts w:ascii="Aptos" w:hAnsi="Aptos" w:cstheme="minorHAnsi"/>
          <w:sz w:val="21"/>
          <w:szCs w:val="21"/>
        </w:rPr>
        <w:t xml:space="preserve"> </w:t>
      </w:r>
      <w:r w:rsidRPr="00467A41">
        <w:rPr>
          <w:rFonts w:ascii="Aptos" w:hAnsi="Aptos" w:cstheme="minorHAnsi"/>
          <w:sz w:val="21"/>
          <w:szCs w:val="21"/>
        </w:rPr>
        <w:t xml:space="preserve">u iznosu od </w:t>
      </w:r>
      <w:r w:rsidR="00467A41">
        <w:rPr>
          <w:rFonts w:ascii="Aptos" w:hAnsi="Aptos" w:cstheme="minorHAnsi"/>
          <w:sz w:val="21"/>
          <w:szCs w:val="21"/>
        </w:rPr>
        <w:t>111.836.086,06</w:t>
      </w:r>
      <w:r w:rsidR="00E731FC" w:rsidRPr="00467A41">
        <w:rPr>
          <w:rFonts w:ascii="Aptos" w:hAnsi="Aptos" w:cstheme="minorHAnsi"/>
          <w:sz w:val="21"/>
          <w:szCs w:val="21"/>
        </w:rPr>
        <w:t xml:space="preserve"> €</w:t>
      </w:r>
      <w:r w:rsidR="006D0455" w:rsidRPr="00467A41">
        <w:rPr>
          <w:rFonts w:ascii="Aptos" w:hAnsi="Aptos" w:cstheme="minorHAnsi"/>
          <w:sz w:val="21"/>
          <w:szCs w:val="21"/>
        </w:rPr>
        <w:t xml:space="preserve"> ili</w:t>
      </w:r>
      <w:r w:rsidRPr="00467A41">
        <w:rPr>
          <w:rFonts w:ascii="Aptos" w:hAnsi="Aptos" w:cstheme="minorHAnsi"/>
          <w:sz w:val="21"/>
          <w:szCs w:val="21"/>
        </w:rPr>
        <w:t xml:space="preserve"> </w:t>
      </w:r>
      <w:r w:rsidR="00467A41">
        <w:rPr>
          <w:rFonts w:ascii="Aptos" w:hAnsi="Aptos" w:cstheme="minorHAnsi"/>
          <w:sz w:val="21"/>
          <w:szCs w:val="21"/>
        </w:rPr>
        <w:t>3,7</w:t>
      </w:r>
      <w:r w:rsidRPr="00467A41">
        <w:rPr>
          <w:rFonts w:ascii="Aptos" w:hAnsi="Aptos" w:cstheme="minorHAnsi"/>
          <w:sz w:val="21"/>
          <w:szCs w:val="21"/>
        </w:rPr>
        <w:t xml:space="preserve">% </w:t>
      </w:r>
      <w:r w:rsidR="00467A41">
        <w:rPr>
          <w:rFonts w:ascii="Aptos" w:hAnsi="Aptos" w:cstheme="minorHAnsi"/>
          <w:sz w:val="21"/>
          <w:szCs w:val="21"/>
        </w:rPr>
        <w:t>manje</w:t>
      </w:r>
      <w:r w:rsidRPr="00467A41">
        <w:rPr>
          <w:rFonts w:ascii="Aptos" w:hAnsi="Aptos" w:cstheme="minorHAnsi"/>
          <w:sz w:val="21"/>
          <w:szCs w:val="21"/>
        </w:rPr>
        <w:t xml:space="preserve"> u odnosu na </w:t>
      </w:r>
      <w:r w:rsidR="00FC1E4A" w:rsidRPr="00467A41">
        <w:rPr>
          <w:rFonts w:ascii="Aptos" w:hAnsi="Aptos" w:cstheme="minorHAnsi"/>
          <w:sz w:val="21"/>
          <w:szCs w:val="21"/>
        </w:rPr>
        <w:t>stanje prethodne godine</w:t>
      </w:r>
    </w:p>
    <w:p w14:paraId="1C209047" w14:textId="08DE7456" w:rsidR="00EB243E" w:rsidRPr="00467A41" w:rsidRDefault="008C7C5D" w:rsidP="00D51A7F">
      <w:pPr>
        <w:pStyle w:val="Odlomakpopisa"/>
        <w:numPr>
          <w:ilvl w:val="0"/>
          <w:numId w:val="12"/>
        </w:numPr>
        <w:spacing w:before="60" w:after="60"/>
        <w:ind w:left="0" w:right="-380" w:hanging="284"/>
        <w:contextualSpacing w:val="0"/>
        <w:jc w:val="both"/>
        <w:rPr>
          <w:rFonts w:ascii="Aptos" w:hAnsi="Aptos" w:cstheme="minorHAnsi"/>
          <w:sz w:val="21"/>
          <w:szCs w:val="21"/>
        </w:rPr>
      </w:pPr>
      <w:r w:rsidRPr="00467A41">
        <w:rPr>
          <w:rFonts w:ascii="Aptos" w:hAnsi="Aptos" w:cstheme="minorHAnsi"/>
          <w:sz w:val="21"/>
          <w:szCs w:val="21"/>
        </w:rPr>
        <w:t>Ukupna financijska imovina</w:t>
      </w:r>
      <w:r w:rsidR="006F0501" w:rsidRPr="00467A41">
        <w:rPr>
          <w:rFonts w:ascii="Aptos" w:hAnsi="Aptos" w:cstheme="minorHAnsi"/>
          <w:sz w:val="21"/>
          <w:szCs w:val="21"/>
        </w:rPr>
        <w:t xml:space="preserve"> – šifra 1</w:t>
      </w:r>
      <w:r w:rsidRPr="00467A41">
        <w:rPr>
          <w:rFonts w:ascii="Aptos" w:hAnsi="Aptos" w:cstheme="minorHAnsi"/>
          <w:sz w:val="21"/>
          <w:szCs w:val="21"/>
        </w:rPr>
        <w:t xml:space="preserve"> na kraju izvještajnog razdoblja iznosi </w:t>
      </w:r>
      <w:r w:rsidR="00467A41">
        <w:rPr>
          <w:rFonts w:ascii="Aptos" w:hAnsi="Aptos" w:cstheme="minorHAnsi"/>
          <w:sz w:val="21"/>
          <w:szCs w:val="21"/>
        </w:rPr>
        <w:t>41.926.256,98</w:t>
      </w:r>
      <w:r w:rsidR="006D0455" w:rsidRPr="00467A41">
        <w:rPr>
          <w:rFonts w:ascii="Aptos" w:hAnsi="Aptos" w:cstheme="minorHAnsi"/>
          <w:sz w:val="21"/>
          <w:szCs w:val="21"/>
        </w:rPr>
        <w:t xml:space="preserve"> €</w:t>
      </w:r>
      <w:r w:rsidR="00E731FC" w:rsidRPr="00467A41">
        <w:rPr>
          <w:rFonts w:ascii="Aptos" w:hAnsi="Aptos" w:cstheme="minorHAnsi"/>
          <w:sz w:val="21"/>
          <w:szCs w:val="21"/>
        </w:rPr>
        <w:t>,</w:t>
      </w:r>
      <w:r w:rsidRPr="00467A41">
        <w:rPr>
          <w:rFonts w:ascii="Aptos" w:hAnsi="Aptos" w:cstheme="minorHAnsi"/>
          <w:sz w:val="21"/>
          <w:szCs w:val="21"/>
        </w:rPr>
        <w:t xml:space="preserve"> što je </w:t>
      </w:r>
      <w:r w:rsidR="006F0501" w:rsidRPr="00467A41">
        <w:rPr>
          <w:rFonts w:ascii="Aptos" w:hAnsi="Aptos" w:cstheme="minorHAnsi"/>
          <w:sz w:val="21"/>
          <w:szCs w:val="21"/>
        </w:rPr>
        <w:t xml:space="preserve">za </w:t>
      </w:r>
      <w:r w:rsidR="00467A41">
        <w:rPr>
          <w:rFonts w:ascii="Aptos" w:hAnsi="Aptos" w:cstheme="minorHAnsi"/>
          <w:sz w:val="21"/>
          <w:szCs w:val="21"/>
        </w:rPr>
        <w:t>1,6</w:t>
      </w:r>
      <w:r w:rsidR="006F0501" w:rsidRPr="00467A41">
        <w:rPr>
          <w:rFonts w:ascii="Aptos" w:hAnsi="Aptos" w:cstheme="minorHAnsi"/>
          <w:sz w:val="21"/>
          <w:szCs w:val="21"/>
        </w:rPr>
        <w:t xml:space="preserve">% </w:t>
      </w:r>
      <w:r w:rsidR="006D0455" w:rsidRPr="00467A41">
        <w:rPr>
          <w:rFonts w:ascii="Aptos" w:hAnsi="Aptos" w:cstheme="minorHAnsi"/>
          <w:sz w:val="21"/>
          <w:szCs w:val="21"/>
        </w:rPr>
        <w:t>više</w:t>
      </w:r>
      <w:r w:rsidR="006F0501" w:rsidRPr="00467A41">
        <w:rPr>
          <w:rFonts w:ascii="Aptos" w:hAnsi="Aptos" w:cstheme="minorHAnsi"/>
          <w:sz w:val="21"/>
          <w:szCs w:val="21"/>
        </w:rPr>
        <w:t xml:space="preserve"> u</w:t>
      </w:r>
      <w:r w:rsidRPr="00467A41">
        <w:rPr>
          <w:rFonts w:ascii="Aptos" w:hAnsi="Aptos" w:cstheme="minorHAnsi"/>
          <w:sz w:val="21"/>
          <w:szCs w:val="21"/>
        </w:rPr>
        <w:t xml:space="preserve"> odnosu na isto prethodno razdoblje </w:t>
      </w:r>
    </w:p>
    <w:p w14:paraId="284BB50F" w14:textId="4626127B" w:rsidR="009409B0" w:rsidRPr="00467A41" w:rsidRDefault="009409B0" w:rsidP="00D51A7F">
      <w:pPr>
        <w:pStyle w:val="Odlomakpopisa"/>
        <w:numPr>
          <w:ilvl w:val="0"/>
          <w:numId w:val="12"/>
        </w:numPr>
        <w:spacing w:before="60" w:after="60"/>
        <w:ind w:left="0" w:right="-380" w:hanging="284"/>
        <w:contextualSpacing w:val="0"/>
        <w:jc w:val="both"/>
        <w:rPr>
          <w:rFonts w:ascii="Aptos" w:hAnsi="Aptos" w:cstheme="minorHAnsi"/>
          <w:sz w:val="21"/>
          <w:szCs w:val="21"/>
        </w:rPr>
      </w:pPr>
      <w:r w:rsidRPr="00467A41">
        <w:rPr>
          <w:rFonts w:ascii="Aptos" w:hAnsi="Aptos" w:cstheme="minorHAnsi"/>
          <w:sz w:val="21"/>
          <w:szCs w:val="21"/>
        </w:rPr>
        <w:t>Stanje obveza</w:t>
      </w:r>
      <w:r w:rsidR="006F0501" w:rsidRPr="00467A41">
        <w:rPr>
          <w:rFonts w:ascii="Aptos" w:hAnsi="Aptos" w:cstheme="minorHAnsi"/>
          <w:sz w:val="21"/>
          <w:szCs w:val="21"/>
        </w:rPr>
        <w:t xml:space="preserve"> – šifra 2</w:t>
      </w:r>
      <w:r w:rsidR="001F4FF8" w:rsidRPr="00467A41">
        <w:rPr>
          <w:rFonts w:ascii="Aptos" w:hAnsi="Aptos" w:cstheme="minorHAnsi"/>
          <w:sz w:val="21"/>
          <w:szCs w:val="21"/>
        </w:rPr>
        <w:t xml:space="preserve"> na kraju </w:t>
      </w:r>
      <w:proofErr w:type="spellStart"/>
      <w:r w:rsidR="001F4FF8" w:rsidRPr="00467A41">
        <w:rPr>
          <w:rFonts w:ascii="Aptos" w:hAnsi="Aptos" w:cstheme="minorHAnsi"/>
          <w:sz w:val="21"/>
          <w:szCs w:val="21"/>
        </w:rPr>
        <w:t>izjveštajnog</w:t>
      </w:r>
      <w:proofErr w:type="spellEnd"/>
      <w:r w:rsidR="001F4FF8" w:rsidRPr="00467A41">
        <w:rPr>
          <w:rFonts w:ascii="Aptos" w:hAnsi="Aptos" w:cstheme="minorHAnsi"/>
          <w:sz w:val="21"/>
          <w:szCs w:val="21"/>
        </w:rPr>
        <w:t xml:space="preserve"> razdoblja iznosi</w:t>
      </w:r>
      <w:r w:rsidRPr="00467A41">
        <w:rPr>
          <w:rFonts w:ascii="Aptos" w:hAnsi="Aptos" w:cstheme="minorHAnsi"/>
          <w:sz w:val="21"/>
          <w:szCs w:val="21"/>
        </w:rPr>
        <w:t xml:space="preserve"> </w:t>
      </w:r>
      <w:r w:rsidR="00467A41">
        <w:rPr>
          <w:rFonts w:ascii="Aptos" w:hAnsi="Aptos" w:cstheme="minorHAnsi"/>
          <w:sz w:val="21"/>
          <w:szCs w:val="21"/>
        </w:rPr>
        <w:t>1.365.422,93</w:t>
      </w:r>
      <w:r w:rsidR="006D0455" w:rsidRPr="00467A41">
        <w:rPr>
          <w:rFonts w:ascii="Aptos" w:hAnsi="Aptos" w:cstheme="minorHAnsi"/>
          <w:sz w:val="21"/>
          <w:szCs w:val="21"/>
        </w:rPr>
        <w:t xml:space="preserve"> €</w:t>
      </w:r>
      <w:r w:rsidRPr="00467A41">
        <w:rPr>
          <w:rFonts w:ascii="Aptos" w:hAnsi="Aptos" w:cstheme="minorHAnsi"/>
          <w:sz w:val="21"/>
          <w:szCs w:val="21"/>
        </w:rPr>
        <w:t xml:space="preserve">, što je u odnosu na </w:t>
      </w:r>
      <w:r w:rsidR="001F4FF8" w:rsidRPr="00467A41">
        <w:rPr>
          <w:rFonts w:ascii="Aptos" w:hAnsi="Aptos" w:cstheme="minorHAnsi"/>
          <w:sz w:val="21"/>
          <w:szCs w:val="21"/>
        </w:rPr>
        <w:t xml:space="preserve">isto razdoblje </w:t>
      </w:r>
      <w:r w:rsidRPr="00467A41">
        <w:rPr>
          <w:rFonts w:ascii="Aptos" w:hAnsi="Aptos" w:cstheme="minorHAnsi"/>
          <w:sz w:val="21"/>
          <w:szCs w:val="21"/>
        </w:rPr>
        <w:t>20</w:t>
      </w:r>
      <w:r w:rsidR="00101646" w:rsidRPr="00467A41">
        <w:rPr>
          <w:rFonts w:ascii="Aptos" w:hAnsi="Aptos" w:cstheme="minorHAnsi"/>
          <w:sz w:val="21"/>
          <w:szCs w:val="21"/>
        </w:rPr>
        <w:t>2</w:t>
      </w:r>
      <w:r w:rsidR="00467A41">
        <w:rPr>
          <w:rFonts w:ascii="Aptos" w:hAnsi="Aptos" w:cstheme="minorHAnsi"/>
          <w:sz w:val="21"/>
          <w:szCs w:val="21"/>
        </w:rPr>
        <w:t>4</w:t>
      </w:r>
      <w:r w:rsidRPr="00467A41">
        <w:rPr>
          <w:rFonts w:ascii="Aptos" w:hAnsi="Aptos" w:cstheme="minorHAnsi"/>
          <w:sz w:val="21"/>
          <w:szCs w:val="21"/>
        </w:rPr>
        <w:t>. godin</w:t>
      </w:r>
      <w:r w:rsidR="001F4FF8" w:rsidRPr="00467A41">
        <w:rPr>
          <w:rFonts w:ascii="Aptos" w:hAnsi="Aptos" w:cstheme="minorHAnsi"/>
          <w:sz w:val="21"/>
          <w:szCs w:val="21"/>
        </w:rPr>
        <w:t>e</w:t>
      </w:r>
      <w:r w:rsidRPr="00467A41">
        <w:rPr>
          <w:rFonts w:ascii="Aptos" w:hAnsi="Aptos" w:cstheme="minorHAnsi"/>
          <w:sz w:val="21"/>
          <w:szCs w:val="21"/>
        </w:rPr>
        <w:t xml:space="preserve"> </w:t>
      </w:r>
      <w:r w:rsidR="00467A41">
        <w:rPr>
          <w:rFonts w:ascii="Aptos" w:hAnsi="Aptos" w:cstheme="minorHAnsi"/>
          <w:sz w:val="21"/>
          <w:szCs w:val="21"/>
        </w:rPr>
        <w:t>manje</w:t>
      </w:r>
      <w:r w:rsidRPr="00467A41">
        <w:rPr>
          <w:rFonts w:ascii="Aptos" w:hAnsi="Aptos" w:cstheme="minorHAnsi"/>
          <w:sz w:val="21"/>
          <w:szCs w:val="21"/>
        </w:rPr>
        <w:t xml:space="preserve"> za </w:t>
      </w:r>
      <w:r w:rsidR="00467A41">
        <w:rPr>
          <w:rFonts w:ascii="Aptos" w:hAnsi="Aptos" w:cstheme="minorHAnsi"/>
          <w:sz w:val="21"/>
          <w:szCs w:val="21"/>
        </w:rPr>
        <w:t>20,5</w:t>
      </w:r>
      <w:r w:rsidRPr="00467A41">
        <w:rPr>
          <w:rFonts w:ascii="Aptos" w:hAnsi="Aptos" w:cstheme="minorHAnsi"/>
          <w:sz w:val="21"/>
          <w:szCs w:val="21"/>
        </w:rPr>
        <w:t>%</w:t>
      </w:r>
      <w:r w:rsidR="006F0501" w:rsidRPr="00467A41">
        <w:rPr>
          <w:rFonts w:ascii="Aptos" w:hAnsi="Aptos" w:cstheme="minorHAnsi"/>
          <w:sz w:val="21"/>
          <w:szCs w:val="21"/>
        </w:rPr>
        <w:t xml:space="preserve"> </w:t>
      </w:r>
    </w:p>
    <w:p w14:paraId="69512DEF" w14:textId="68D6D21D" w:rsidR="00E731FC" w:rsidRPr="00467A41" w:rsidRDefault="009409B0" w:rsidP="00E731FC">
      <w:pPr>
        <w:pStyle w:val="Odlomakpopisa"/>
        <w:numPr>
          <w:ilvl w:val="0"/>
          <w:numId w:val="12"/>
        </w:numPr>
        <w:spacing w:before="60" w:after="60"/>
        <w:ind w:left="0" w:right="-380" w:hanging="284"/>
        <w:contextualSpacing w:val="0"/>
        <w:jc w:val="both"/>
        <w:rPr>
          <w:rFonts w:ascii="Aptos" w:hAnsi="Aptos" w:cstheme="minorHAnsi"/>
          <w:sz w:val="21"/>
          <w:szCs w:val="21"/>
        </w:rPr>
      </w:pPr>
      <w:r w:rsidRPr="00467A41">
        <w:rPr>
          <w:rFonts w:ascii="Aptos" w:hAnsi="Aptos" w:cstheme="minorHAnsi"/>
          <w:sz w:val="21"/>
          <w:szCs w:val="21"/>
        </w:rPr>
        <w:t xml:space="preserve">Stanje vlastitih izvora </w:t>
      </w:r>
      <w:r w:rsidR="006F0501" w:rsidRPr="00467A41">
        <w:rPr>
          <w:rFonts w:ascii="Aptos" w:hAnsi="Aptos" w:cstheme="minorHAnsi"/>
          <w:sz w:val="21"/>
          <w:szCs w:val="21"/>
        </w:rPr>
        <w:t>– šifra 9</w:t>
      </w:r>
      <w:r w:rsidRPr="00467A41">
        <w:rPr>
          <w:rFonts w:ascii="Aptos" w:hAnsi="Aptos" w:cstheme="minorHAnsi"/>
          <w:sz w:val="21"/>
          <w:szCs w:val="21"/>
        </w:rPr>
        <w:t xml:space="preserve"> </w:t>
      </w:r>
      <w:r w:rsidR="00C93507" w:rsidRPr="00467A41">
        <w:rPr>
          <w:rFonts w:ascii="Aptos" w:hAnsi="Aptos" w:cstheme="minorHAnsi"/>
          <w:sz w:val="21"/>
          <w:szCs w:val="21"/>
        </w:rPr>
        <w:t xml:space="preserve"> iznosi </w:t>
      </w:r>
      <w:r w:rsidR="00467A41">
        <w:rPr>
          <w:rFonts w:ascii="Aptos" w:hAnsi="Aptos" w:cstheme="minorHAnsi"/>
          <w:sz w:val="21"/>
          <w:szCs w:val="21"/>
        </w:rPr>
        <w:t>152.396.920,11</w:t>
      </w:r>
      <w:r w:rsidR="00CC5EE6" w:rsidRPr="00467A41">
        <w:rPr>
          <w:rFonts w:ascii="Aptos" w:hAnsi="Aptos" w:cstheme="minorHAnsi"/>
          <w:sz w:val="21"/>
          <w:szCs w:val="21"/>
        </w:rPr>
        <w:t xml:space="preserve"> € ili </w:t>
      </w:r>
      <w:r w:rsidR="00467A41">
        <w:rPr>
          <w:rFonts w:ascii="Aptos" w:hAnsi="Aptos" w:cstheme="minorHAnsi"/>
          <w:sz w:val="21"/>
          <w:szCs w:val="21"/>
        </w:rPr>
        <w:t>2,1</w:t>
      </w:r>
      <w:r w:rsidR="00CC5EE6" w:rsidRPr="00467A41">
        <w:rPr>
          <w:rFonts w:ascii="Aptos" w:hAnsi="Aptos" w:cstheme="minorHAnsi"/>
          <w:sz w:val="21"/>
          <w:szCs w:val="21"/>
        </w:rPr>
        <w:t xml:space="preserve">% </w:t>
      </w:r>
      <w:r w:rsidR="00467A41">
        <w:rPr>
          <w:rFonts w:ascii="Aptos" w:hAnsi="Aptos" w:cstheme="minorHAnsi"/>
          <w:sz w:val="21"/>
          <w:szCs w:val="21"/>
        </w:rPr>
        <w:t>manje</w:t>
      </w:r>
      <w:r w:rsidR="00CC5EE6" w:rsidRPr="00467A41">
        <w:rPr>
          <w:rFonts w:ascii="Aptos" w:hAnsi="Aptos" w:cstheme="minorHAnsi"/>
          <w:sz w:val="21"/>
          <w:szCs w:val="21"/>
        </w:rPr>
        <w:t xml:space="preserve"> u</w:t>
      </w:r>
      <w:r w:rsidR="00C93507" w:rsidRPr="00467A41">
        <w:rPr>
          <w:rFonts w:ascii="Aptos" w:hAnsi="Aptos" w:cstheme="minorHAnsi"/>
          <w:sz w:val="21"/>
          <w:szCs w:val="21"/>
        </w:rPr>
        <w:t xml:space="preserve"> odnosu na iste podatke  u prethodnom obračunskom razdoblju</w:t>
      </w:r>
      <w:r w:rsidR="00EB243E" w:rsidRPr="00467A41">
        <w:rPr>
          <w:rFonts w:ascii="Aptos" w:hAnsi="Aptos" w:cstheme="minorHAnsi"/>
          <w:sz w:val="21"/>
          <w:szCs w:val="21"/>
        </w:rPr>
        <w:t>.</w:t>
      </w:r>
      <w:r w:rsidR="00CB0A78" w:rsidRPr="00467A41">
        <w:rPr>
          <w:rFonts w:ascii="Aptos" w:hAnsi="Aptos" w:cstheme="minorHAnsi"/>
          <w:sz w:val="21"/>
          <w:szCs w:val="21"/>
        </w:rPr>
        <w:t xml:space="preserve">  </w:t>
      </w:r>
    </w:p>
    <w:p w14:paraId="7A94DF5A" w14:textId="5786EC26" w:rsidR="00D51A7F" w:rsidRPr="00467A41" w:rsidRDefault="009A7EEC" w:rsidP="009A7EEC">
      <w:pPr>
        <w:pBdr>
          <w:top w:val="single" w:sz="4" w:space="1" w:color="auto"/>
          <w:left w:val="single" w:sz="4" w:space="0" w:color="auto"/>
          <w:bottom w:val="single" w:sz="4" w:space="1" w:color="auto"/>
          <w:right w:val="single" w:sz="4" w:space="19" w:color="auto"/>
        </w:pBdr>
        <w:spacing w:before="60" w:after="60"/>
        <w:ind w:left="-425"/>
        <w:jc w:val="center"/>
        <w:rPr>
          <w:rFonts w:ascii="Aptos" w:hAnsi="Aptos" w:cstheme="minorHAnsi"/>
          <w:b/>
          <w:sz w:val="21"/>
          <w:szCs w:val="21"/>
        </w:rPr>
      </w:pPr>
      <w:r w:rsidRPr="00467A41">
        <w:rPr>
          <w:rFonts w:ascii="Aptos" w:hAnsi="Aptos" w:cstheme="minorHAnsi"/>
          <w:b/>
          <w:sz w:val="21"/>
          <w:szCs w:val="21"/>
        </w:rPr>
        <w:t>NEFINANCIJSKA IMOVINA</w:t>
      </w:r>
    </w:p>
    <w:p w14:paraId="170D907D" w14:textId="17CBCC90" w:rsidR="005E5645" w:rsidRPr="00467A41" w:rsidRDefault="005E5645" w:rsidP="005E5645">
      <w:pPr>
        <w:pStyle w:val="Tijeloteksta-uvlaka3"/>
        <w:spacing w:before="60" w:after="60"/>
        <w:ind w:left="-426" w:firstLine="0"/>
        <w:rPr>
          <w:rFonts w:ascii="Aptos" w:hAnsi="Aptos" w:cstheme="minorHAnsi"/>
          <w:b/>
          <w:sz w:val="21"/>
          <w:szCs w:val="21"/>
        </w:rPr>
      </w:pPr>
      <w:r w:rsidRPr="00467A41">
        <w:rPr>
          <w:rFonts w:ascii="Aptos" w:hAnsi="Aptos" w:cstheme="minorHAnsi"/>
          <w:b/>
          <w:sz w:val="21"/>
          <w:szCs w:val="21"/>
        </w:rPr>
        <w:t xml:space="preserve">ŠIFRA B002 – </w:t>
      </w:r>
      <w:proofErr w:type="spellStart"/>
      <w:r w:rsidRPr="00467A41">
        <w:rPr>
          <w:rFonts w:ascii="Aptos" w:hAnsi="Aptos" w:cstheme="minorHAnsi"/>
          <w:b/>
          <w:sz w:val="21"/>
          <w:szCs w:val="21"/>
        </w:rPr>
        <w:t>Nefinancijska</w:t>
      </w:r>
      <w:proofErr w:type="spellEnd"/>
      <w:r w:rsidRPr="00467A41">
        <w:rPr>
          <w:rFonts w:ascii="Aptos" w:hAnsi="Aptos" w:cstheme="minorHAnsi"/>
          <w:b/>
          <w:sz w:val="21"/>
          <w:szCs w:val="21"/>
        </w:rPr>
        <w:t xml:space="preserve"> </w:t>
      </w:r>
      <w:proofErr w:type="spellStart"/>
      <w:r w:rsidRPr="00467A41">
        <w:rPr>
          <w:rFonts w:ascii="Aptos" w:hAnsi="Aptos" w:cstheme="minorHAnsi"/>
          <w:b/>
          <w:sz w:val="21"/>
          <w:szCs w:val="21"/>
        </w:rPr>
        <w:t>imovina</w:t>
      </w:r>
      <w:proofErr w:type="spellEnd"/>
    </w:p>
    <w:p w14:paraId="2BA1EA9F" w14:textId="5FC71CBD" w:rsidR="005E5645" w:rsidRPr="00467A41" w:rsidRDefault="005E5645" w:rsidP="00467A41">
      <w:pPr>
        <w:spacing w:before="60" w:after="60"/>
        <w:ind w:left="-425" w:right="-380" w:firstLine="284"/>
        <w:jc w:val="both"/>
        <w:rPr>
          <w:rFonts w:ascii="Aptos" w:hAnsi="Aptos" w:cstheme="minorHAnsi"/>
          <w:sz w:val="21"/>
          <w:szCs w:val="21"/>
        </w:rPr>
      </w:pPr>
      <w:r w:rsidRPr="00467A41">
        <w:rPr>
          <w:rFonts w:ascii="Aptos" w:hAnsi="Aptos" w:cstheme="minorHAnsi"/>
          <w:sz w:val="21"/>
          <w:szCs w:val="21"/>
        </w:rPr>
        <w:t>Ukupna vrijednost nefinancijske imovine  na dan 31.12.202</w:t>
      </w:r>
      <w:r w:rsidR="00467A41">
        <w:rPr>
          <w:rFonts w:ascii="Aptos" w:hAnsi="Aptos" w:cstheme="minorHAnsi"/>
          <w:sz w:val="21"/>
          <w:szCs w:val="21"/>
        </w:rPr>
        <w:t>5</w:t>
      </w:r>
      <w:r w:rsidRPr="00467A41">
        <w:rPr>
          <w:rFonts w:ascii="Aptos" w:hAnsi="Aptos" w:cstheme="minorHAnsi"/>
          <w:sz w:val="21"/>
          <w:szCs w:val="21"/>
        </w:rPr>
        <w:t xml:space="preserve">. godine iznosi </w:t>
      </w:r>
      <w:r w:rsidR="00467A41">
        <w:rPr>
          <w:rFonts w:ascii="Aptos" w:hAnsi="Aptos" w:cstheme="minorHAnsi"/>
          <w:sz w:val="21"/>
          <w:szCs w:val="21"/>
        </w:rPr>
        <w:t>111.836.086,06</w:t>
      </w:r>
      <w:r w:rsidR="00410ADF" w:rsidRPr="00467A41">
        <w:rPr>
          <w:rFonts w:ascii="Aptos" w:hAnsi="Aptos" w:cstheme="minorHAnsi"/>
          <w:sz w:val="21"/>
          <w:szCs w:val="21"/>
        </w:rPr>
        <w:t xml:space="preserve"> €</w:t>
      </w:r>
      <w:r w:rsidR="00467A41">
        <w:rPr>
          <w:rFonts w:ascii="Aptos" w:hAnsi="Aptos" w:cstheme="minorHAnsi"/>
          <w:sz w:val="21"/>
          <w:szCs w:val="21"/>
        </w:rPr>
        <w:t xml:space="preserve">. </w:t>
      </w:r>
      <w:r w:rsidRPr="00467A41">
        <w:rPr>
          <w:rFonts w:ascii="Aptos" w:hAnsi="Aptos" w:cstheme="minorHAnsi"/>
          <w:sz w:val="21"/>
          <w:szCs w:val="21"/>
        </w:rPr>
        <w:t>Ispravak vrijednosti nefinancijske imovine za 202</w:t>
      </w:r>
      <w:r w:rsidR="00467A41">
        <w:rPr>
          <w:rFonts w:ascii="Aptos" w:hAnsi="Aptos" w:cstheme="minorHAnsi"/>
          <w:sz w:val="21"/>
          <w:szCs w:val="21"/>
        </w:rPr>
        <w:t>5</w:t>
      </w:r>
      <w:r w:rsidRPr="00467A41">
        <w:rPr>
          <w:rFonts w:ascii="Aptos" w:hAnsi="Aptos" w:cstheme="minorHAnsi"/>
          <w:sz w:val="21"/>
          <w:szCs w:val="21"/>
        </w:rPr>
        <w:t>. godinu proveden je linearnom metodom uz primjenu zakonskih  stopa te ukupno obračunata amortizacija nefinancijske imovine za 202</w:t>
      </w:r>
      <w:r w:rsidR="00467A41">
        <w:rPr>
          <w:rFonts w:ascii="Aptos" w:hAnsi="Aptos" w:cstheme="minorHAnsi"/>
          <w:sz w:val="21"/>
          <w:szCs w:val="21"/>
        </w:rPr>
        <w:t>5</w:t>
      </w:r>
      <w:r w:rsidRPr="00467A41">
        <w:rPr>
          <w:rFonts w:ascii="Aptos" w:hAnsi="Aptos" w:cstheme="minorHAnsi"/>
          <w:sz w:val="21"/>
          <w:szCs w:val="21"/>
        </w:rPr>
        <w:t>. godinu iznosi</w:t>
      </w:r>
      <w:r w:rsidR="001C2994" w:rsidRPr="00467A41">
        <w:rPr>
          <w:rFonts w:ascii="Aptos" w:hAnsi="Aptos" w:cstheme="minorHAnsi"/>
          <w:sz w:val="21"/>
          <w:szCs w:val="21"/>
        </w:rPr>
        <w:t xml:space="preserve"> </w:t>
      </w:r>
      <w:r w:rsidR="00467A41" w:rsidRPr="00467A41">
        <w:rPr>
          <w:rFonts w:ascii="Aptos" w:hAnsi="Aptos" w:cstheme="minorHAnsi"/>
          <w:sz w:val="21"/>
          <w:szCs w:val="21"/>
        </w:rPr>
        <w:t>26.827.433,47</w:t>
      </w:r>
      <w:r w:rsidR="001C2994" w:rsidRPr="00467A41">
        <w:rPr>
          <w:rFonts w:ascii="Aptos" w:hAnsi="Aptos" w:cstheme="minorHAnsi"/>
          <w:sz w:val="21"/>
          <w:szCs w:val="21"/>
        </w:rPr>
        <w:t>€</w:t>
      </w:r>
      <w:r w:rsidRPr="00467A41">
        <w:rPr>
          <w:rFonts w:ascii="Aptos" w:hAnsi="Aptos" w:cstheme="minorHAnsi"/>
          <w:sz w:val="21"/>
          <w:szCs w:val="21"/>
        </w:rPr>
        <w:t>.</w:t>
      </w:r>
    </w:p>
    <w:p w14:paraId="7DB2B07F" w14:textId="77777777" w:rsidR="005E5645" w:rsidRPr="00467A41" w:rsidRDefault="005E5645" w:rsidP="005E5645">
      <w:pPr>
        <w:pStyle w:val="Tijeloteksta-uvlaka3"/>
        <w:spacing w:before="60" w:after="60"/>
        <w:ind w:left="-426" w:firstLine="0"/>
        <w:rPr>
          <w:rFonts w:ascii="Aptos" w:hAnsi="Aptos" w:cstheme="minorHAnsi"/>
          <w:b/>
          <w:sz w:val="21"/>
          <w:szCs w:val="21"/>
        </w:rPr>
      </w:pPr>
      <w:r w:rsidRPr="00467A41">
        <w:rPr>
          <w:rFonts w:ascii="Aptos" w:hAnsi="Aptos" w:cstheme="minorHAnsi"/>
          <w:b/>
          <w:sz w:val="21"/>
          <w:szCs w:val="21"/>
        </w:rPr>
        <w:t xml:space="preserve">ŠIFRA 01 - Neproizvedena </w:t>
      </w:r>
      <w:proofErr w:type="spellStart"/>
      <w:r w:rsidRPr="00467A41">
        <w:rPr>
          <w:rFonts w:ascii="Aptos" w:hAnsi="Aptos" w:cstheme="minorHAnsi"/>
          <w:b/>
          <w:sz w:val="21"/>
          <w:szCs w:val="21"/>
        </w:rPr>
        <w:t>dugotrajna</w:t>
      </w:r>
      <w:proofErr w:type="spellEnd"/>
      <w:r w:rsidRPr="00467A41">
        <w:rPr>
          <w:rFonts w:ascii="Aptos" w:hAnsi="Aptos" w:cstheme="minorHAnsi"/>
          <w:b/>
          <w:sz w:val="21"/>
          <w:szCs w:val="21"/>
        </w:rPr>
        <w:t xml:space="preserve"> </w:t>
      </w:r>
      <w:proofErr w:type="spellStart"/>
      <w:r w:rsidRPr="00467A41">
        <w:rPr>
          <w:rFonts w:ascii="Aptos" w:hAnsi="Aptos" w:cstheme="minorHAnsi"/>
          <w:b/>
          <w:sz w:val="21"/>
          <w:szCs w:val="21"/>
        </w:rPr>
        <w:t>imovina</w:t>
      </w:r>
      <w:proofErr w:type="spellEnd"/>
    </w:p>
    <w:p w14:paraId="4B29F711" w14:textId="0D38D24D" w:rsidR="005E5645" w:rsidRDefault="005E5645" w:rsidP="005E5645">
      <w:pPr>
        <w:spacing w:before="60" w:after="60"/>
        <w:ind w:left="-425" w:right="-380" w:firstLine="284"/>
        <w:jc w:val="both"/>
        <w:rPr>
          <w:rFonts w:ascii="Aptos" w:hAnsi="Aptos" w:cstheme="minorHAnsi"/>
          <w:sz w:val="21"/>
          <w:szCs w:val="21"/>
        </w:rPr>
      </w:pPr>
      <w:r w:rsidRPr="00467A41">
        <w:rPr>
          <w:rFonts w:ascii="Aptos" w:hAnsi="Aptos" w:cstheme="minorHAnsi"/>
          <w:sz w:val="21"/>
          <w:szCs w:val="21"/>
        </w:rPr>
        <w:t xml:space="preserve">Vrijednost </w:t>
      </w:r>
      <w:proofErr w:type="spellStart"/>
      <w:r w:rsidRPr="00467A41">
        <w:rPr>
          <w:rFonts w:ascii="Aptos" w:hAnsi="Aptos" w:cstheme="minorHAnsi"/>
          <w:sz w:val="21"/>
          <w:szCs w:val="21"/>
        </w:rPr>
        <w:t>neproizvedene</w:t>
      </w:r>
      <w:proofErr w:type="spellEnd"/>
      <w:r w:rsidRPr="00467A41">
        <w:rPr>
          <w:rFonts w:ascii="Aptos" w:hAnsi="Aptos" w:cstheme="minorHAnsi"/>
          <w:sz w:val="21"/>
          <w:szCs w:val="21"/>
        </w:rPr>
        <w:t xml:space="preserve"> dugotrajne imovine u odnosu na vrijednost iste u 202</w:t>
      </w:r>
      <w:r w:rsidR="00355E8B">
        <w:rPr>
          <w:rFonts w:ascii="Aptos" w:hAnsi="Aptos" w:cstheme="minorHAnsi"/>
          <w:sz w:val="21"/>
          <w:szCs w:val="21"/>
        </w:rPr>
        <w:t>4</w:t>
      </w:r>
      <w:r w:rsidRPr="00467A41">
        <w:rPr>
          <w:rFonts w:ascii="Aptos" w:hAnsi="Aptos" w:cstheme="minorHAnsi"/>
          <w:sz w:val="21"/>
          <w:szCs w:val="21"/>
        </w:rPr>
        <w:t xml:space="preserve">. godini </w:t>
      </w:r>
      <w:r w:rsidR="00410ADF" w:rsidRPr="00467A41">
        <w:rPr>
          <w:rFonts w:ascii="Aptos" w:hAnsi="Aptos" w:cstheme="minorHAnsi"/>
          <w:sz w:val="21"/>
          <w:szCs w:val="21"/>
        </w:rPr>
        <w:t xml:space="preserve">veća je za </w:t>
      </w:r>
      <w:r w:rsidR="00CC2A78" w:rsidRPr="00467A41">
        <w:rPr>
          <w:rFonts w:ascii="Aptos" w:hAnsi="Aptos" w:cstheme="minorHAnsi"/>
          <w:sz w:val="21"/>
          <w:szCs w:val="21"/>
        </w:rPr>
        <w:t>0,</w:t>
      </w:r>
      <w:r w:rsidR="00355E8B">
        <w:rPr>
          <w:rFonts w:ascii="Aptos" w:hAnsi="Aptos" w:cstheme="minorHAnsi"/>
          <w:sz w:val="21"/>
          <w:szCs w:val="21"/>
        </w:rPr>
        <w:t>4</w:t>
      </w:r>
      <w:r w:rsidR="00410ADF" w:rsidRPr="00467A41">
        <w:rPr>
          <w:rFonts w:ascii="Aptos" w:hAnsi="Aptos" w:cstheme="minorHAnsi"/>
          <w:sz w:val="21"/>
          <w:szCs w:val="21"/>
        </w:rPr>
        <w:t>% i</w:t>
      </w:r>
      <w:r w:rsidRPr="00467A41">
        <w:rPr>
          <w:rFonts w:ascii="Aptos" w:hAnsi="Aptos" w:cstheme="minorHAnsi"/>
          <w:sz w:val="21"/>
          <w:szCs w:val="21"/>
        </w:rPr>
        <w:t xml:space="preserve">  iznosi </w:t>
      </w:r>
      <w:r w:rsidR="00690D8D" w:rsidRPr="00467A41">
        <w:rPr>
          <w:rFonts w:ascii="Aptos" w:hAnsi="Aptos" w:cstheme="minorHAnsi"/>
          <w:sz w:val="21"/>
          <w:szCs w:val="21"/>
        </w:rPr>
        <w:t>7</w:t>
      </w:r>
      <w:r w:rsidR="00355E8B">
        <w:rPr>
          <w:rFonts w:ascii="Aptos" w:hAnsi="Aptos" w:cstheme="minorHAnsi"/>
          <w:sz w:val="21"/>
          <w:szCs w:val="21"/>
        </w:rPr>
        <w:t>2</w:t>
      </w:r>
      <w:r w:rsidR="00690D8D" w:rsidRPr="00467A41">
        <w:rPr>
          <w:rFonts w:ascii="Aptos" w:hAnsi="Aptos" w:cstheme="minorHAnsi"/>
          <w:sz w:val="21"/>
          <w:szCs w:val="21"/>
        </w:rPr>
        <w:t>.</w:t>
      </w:r>
      <w:r w:rsidR="00355E8B">
        <w:rPr>
          <w:rFonts w:ascii="Aptos" w:hAnsi="Aptos" w:cstheme="minorHAnsi"/>
          <w:sz w:val="21"/>
          <w:szCs w:val="21"/>
        </w:rPr>
        <w:t>190.628,33</w:t>
      </w:r>
      <w:r w:rsidR="00410ADF" w:rsidRPr="00467A41">
        <w:rPr>
          <w:rFonts w:ascii="Aptos" w:hAnsi="Aptos" w:cstheme="minorHAnsi"/>
          <w:sz w:val="21"/>
          <w:szCs w:val="21"/>
        </w:rPr>
        <w:t xml:space="preserve"> €</w:t>
      </w:r>
      <w:r w:rsidRPr="00467A41">
        <w:rPr>
          <w:rFonts w:ascii="Aptos" w:hAnsi="Aptos" w:cstheme="minorHAnsi"/>
          <w:sz w:val="21"/>
          <w:szCs w:val="21"/>
        </w:rPr>
        <w:t xml:space="preserve">.  </w:t>
      </w:r>
    </w:p>
    <w:p w14:paraId="57799AAA" w14:textId="7B2A76D3" w:rsidR="005E5645" w:rsidRPr="00467A41" w:rsidRDefault="00355E8B" w:rsidP="00562300">
      <w:pPr>
        <w:spacing w:before="60" w:after="60"/>
        <w:ind w:left="-425" w:right="-380" w:firstLine="284"/>
        <w:jc w:val="both"/>
        <w:rPr>
          <w:rFonts w:ascii="Aptos" w:hAnsi="Aptos" w:cstheme="minorHAnsi"/>
          <w:sz w:val="21"/>
          <w:szCs w:val="21"/>
        </w:rPr>
      </w:pPr>
      <w:r>
        <w:rPr>
          <w:rFonts w:ascii="Aptos" w:hAnsi="Aptos" w:cstheme="minorHAnsi"/>
          <w:sz w:val="21"/>
          <w:szCs w:val="21"/>
        </w:rPr>
        <w:t xml:space="preserve">Najveće odstupanje u okviru ove skupine konta evidentno je kod nematerijalne imovine – šifra 012 čije je stanje u odnosu na prethodnu godinu  manje za 24,60%, a zbog isknjižavanja vrijednosti imovine u iznosu od </w:t>
      </w:r>
      <w:r w:rsidR="00562300" w:rsidRPr="00562300">
        <w:rPr>
          <w:rFonts w:ascii="Aptos" w:hAnsi="Aptos" w:cstheme="minorHAnsi"/>
          <w:sz w:val="21"/>
          <w:szCs w:val="21"/>
        </w:rPr>
        <w:t>39</w:t>
      </w:r>
      <w:r w:rsidR="00562300">
        <w:rPr>
          <w:rFonts w:ascii="Aptos" w:hAnsi="Aptos" w:cstheme="minorHAnsi"/>
          <w:sz w:val="21"/>
          <w:szCs w:val="21"/>
        </w:rPr>
        <w:t>1.</w:t>
      </w:r>
      <w:r w:rsidR="00562300" w:rsidRPr="00562300">
        <w:rPr>
          <w:rFonts w:ascii="Aptos" w:hAnsi="Aptos" w:cstheme="minorHAnsi"/>
          <w:sz w:val="21"/>
          <w:szCs w:val="21"/>
        </w:rPr>
        <w:t>564</w:t>
      </w:r>
      <w:r w:rsidR="00562300">
        <w:rPr>
          <w:rFonts w:ascii="Aptos" w:hAnsi="Aptos" w:cstheme="minorHAnsi"/>
          <w:sz w:val="21"/>
          <w:szCs w:val="21"/>
        </w:rPr>
        <w:t>,</w:t>
      </w:r>
      <w:r w:rsidR="00562300" w:rsidRPr="00562300">
        <w:rPr>
          <w:rFonts w:ascii="Aptos" w:hAnsi="Aptos" w:cstheme="minorHAnsi"/>
          <w:sz w:val="21"/>
          <w:szCs w:val="21"/>
        </w:rPr>
        <w:t>98</w:t>
      </w:r>
      <w:r w:rsidR="00562300">
        <w:rPr>
          <w:rFonts w:ascii="Aptos" w:hAnsi="Aptos" w:cstheme="minorHAnsi"/>
          <w:sz w:val="21"/>
          <w:szCs w:val="21"/>
        </w:rPr>
        <w:t xml:space="preserve"> € koja se odnosi na financiranje izgradnje vodovodnih ogranaka na području Grada Bakra. Naime, temeljem nalaza i preporuka Državnog ureda za reviziju, k</w:t>
      </w:r>
      <w:r w:rsidRPr="00562300">
        <w:rPr>
          <w:rFonts w:ascii="Aptos" w:hAnsi="Aptos" w:cstheme="minorHAnsi"/>
          <w:sz w:val="21"/>
          <w:szCs w:val="21"/>
        </w:rPr>
        <w:t xml:space="preserve">omunalne vodne građevine su prema odredbama članka 9. Zakona o vodnim uslugama (Narodne novine 69/19) javna dobra u javnoj uporabi i u vlasništvu su </w:t>
      </w:r>
      <w:r w:rsidRPr="00562300">
        <w:rPr>
          <w:rFonts w:ascii="Aptos" w:hAnsi="Aptos" w:cstheme="minorHAnsi"/>
          <w:sz w:val="21"/>
          <w:szCs w:val="21"/>
        </w:rPr>
        <w:lastRenderedPageBreak/>
        <w:t>javnoga isporučitelja vodnih usluga na uslužnom području. S tim u svezi, a uvažavajući odredbe Pravilnika o proračunskom računovodstvu i Računskom planu, prijenosi sredstava komunalnom društvu za financiranje nabave, izgradnje ili rekonstrukcije vodovodnih ogranaka predstavljaju kapitalne pomoći. Sukladno tome, takva ulaganja nisu trebala biti evidentirana kao dugotrajna imovina Grada Bakra, već ih je bilo potrebno iskazati kao rashode na odgovarajućim računima kapitalnih pomoći.</w:t>
      </w:r>
    </w:p>
    <w:p w14:paraId="6F2F551B" w14:textId="3C95DF79" w:rsidR="005E5645" w:rsidRPr="00467A41" w:rsidRDefault="005E5645" w:rsidP="00966A1C">
      <w:pPr>
        <w:pStyle w:val="Tijeloteksta-uvlaka3"/>
        <w:spacing w:before="60" w:after="60"/>
        <w:ind w:left="-426" w:firstLine="0"/>
        <w:rPr>
          <w:rFonts w:ascii="Aptos" w:hAnsi="Aptos" w:cstheme="minorHAnsi"/>
          <w:b/>
          <w:sz w:val="21"/>
          <w:szCs w:val="21"/>
        </w:rPr>
      </w:pPr>
      <w:r w:rsidRPr="00467A41">
        <w:rPr>
          <w:rFonts w:ascii="Aptos" w:hAnsi="Aptos" w:cstheme="minorHAnsi"/>
          <w:b/>
          <w:sz w:val="21"/>
          <w:szCs w:val="21"/>
        </w:rPr>
        <w:t xml:space="preserve">ŠIFRA 02 </w:t>
      </w:r>
      <w:r w:rsidR="00562300">
        <w:rPr>
          <w:rFonts w:ascii="Aptos" w:hAnsi="Aptos" w:cstheme="minorHAnsi"/>
          <w:b/>
          <w:sz w:val="21"/>
          <w:szCs w:val="21"/>
        </w:rPr>
        <w:t>–</w:t>
      </w:r>
      <w:r w:rsidRPr="00467A41">
        <w:rPr>
          <w:rFonts w:ascii="Aptos" w:hAnsi="Aptos" w:cstheme="minorHAnsi"/>
          <w:b/>
          <w:sz w:val="21"/>
          <w:szCs w:val="21"/>
        </w:rPr>
        <w:t xml:space="preserve"> </w:t>
      </w:r>
      <w:proofErr w:type="spellStart"/>
      <w:r w:rsidR="00562300">
        <w:rPr>
          <w:rFonts w:ascii="Aptos" w:hAnsi="Aptos" w:cstheme="minorHAnsi"/>
          <w:b/>
          <w:sz w:val="21"/>
          <w:szCs w:val="21"/>
        </w:rPr>
        <w:t>Proizvedena</w:t>
      </w:r>
      <w:proofErr w:type="spellEnd"/>
      <w:r w:rsidR="00562300">
        <w:rPr>
          <w:rFonts w:ascii="Aptos" w:hAnsi="Aptos" w:cstheme="minorHAnsi"/>
          <w:b/>
          <w:sz w:val="21"/>
          <w:szCs w:val="21"/>
        </w:rPr>
        <w:t xml:space="preserve"> </w:t>
      </w:r>
      <w:proofErr w:type="spellStart"/>
      <w:r w:rsidR="00562300">
        <w:rPr>
          <w:rFonts w:ascii="Aptos" w:hAnsi="Aptos" w:cstheme="minorHAnsi"/>
          <w:b/>
          <w:sz w:val="21"/>
          <w:szCs w:val="21"/>
        </w:rPr>
        <w:t>dugotrajna</w:t>
      </w:r>
      <w:proofErr w:type="spellEnd"/>
      <w:r w:rsidR="00562300">
        <w:rPr>
          <w:rFonts w:ascii="Aptos" w:hAnsi="Aptos" w:cstheme="minorHAnsi"/>
          <w:b/>
          <w:sz w:val="21"/>
          <w:szCs w:val="21"/>
        </w:rPr>
        <w:t xml:space="preserve"> </w:t>
      </w:r>
      <w:proofErr w:type="spellStart"/>
      <w:r w:rsidR="00562300">
        <w:rPr>
          <w:rFonts w:ascii="Aptos" w:hAnsi="Aptos" w:cstheme="minorHAnsi"/>
          <w:b/>
          <w:sz w:val="21"/>
          <w:szCs w:val="21"/>
        </w:rPr>
        <w:t>imovina</w:t>
      </w:r>
      <w:proofErr w:type="spellEnd"/>
    </w:p>
    <w:p w14:paraId="26768FDD" w14:textId="0CC73E5C" w:rsidR="00562300" w:rsidRDefault="00562300" w:rsidP="00966A1C">
      <w:pPr>
        <w:spacing w:before="60" w:after="60"/>
        <w:ind w:left="-425" w:right="-380" w:firstLine="284"/>
        <w:jc w:val="both"/>
        <w:rPr>
          <w:rFonts w:ascii="Aptos" w:hAnsi="Aptos" w:cstheme="minorHAnsi"/>
          <w:sz w:val="21"/>
          <w:szCs w:val="21"/>
        </w:rPr>
      </w:pPr>
      <w:r>
        <w:rPr>
          <w:rFonts w:ascii="Aptos" w:hAnsi="Aptos" w:cstheme="minorHAnsi"/>
          <w:sz w:val="21"/>
          <w:szCs w:val="21"/>
        </w:rPr>
        <w:t>U odnosu na prošlogodišnje izvještajno razdoblje vrijednost proizvedene dugotrajne imovine manje je za 0,7% i iznosi 33.539.920,49 €.</w:t>
      </w:r>
    </w:p>
    <w:p w14:paraId="77A3CED8" w14:textId="6DC7A742" w:rsidR="00404AAA" w:rsidRDefault="00562300" w:rsidP="00404AAA">
      <w:pPr>
        <w:spacing w:before="60" w:after="60"/>
        <w:ind w:left="-425" w:right="-380" w:firstLine="284"/>
        <w:jc w:val="both"/>
        <w:rPr>
          <w:rFonts w:ascii="Aptos" w:hAnsi="Aptos"/>
          <w:sz w:val="21"/>
          <w:szCs w:val="21"/>
        </w:rPr>
      </w:pPr>
      <w:r>
        <w:rPr>
          <w:rFonts w:ascii="Aptos" w:hAnsi="Aptos" w:cstheme="minorHAnsi"/>
          <w:sz w:val="21"/>
          <w:szCs w:val="21"/>
        </w:rPr>
        <w:t xml:space="preserve">Značajnije povećanje vrijednosti ove imovine evidentno je kod stambenih objekata – šifra 0211 obzirom da su </w:t>
      </w:r>
      <w:r w:rsidR="00404AAA">
        <w:rPr>
          <w:rFonts w:ascii="Aptos" w:hAnsi="Aptos"/>
          <w:sz w:val="21"/>
          <w:szCs w:val="21"/>
        </w:rPr>
        <w:t xml:space="preserve">u analitičkoj evidenciji internom procjenom na </w:t>
      </w:r>
      <w:r w:rsidR="00404AAA" w:rsidRPr="00380452">
        <w:rPr>
          <w:rFonts w:ascii="Aptos" w:hAnsi="Aptos"/>
          <w:sz w:val="21"/>
          <w:szCs w:val="21"/>
        </w:rPr>
        <w:t>temelju aproksimativne usporedne metode</w:t>
      </w:r>
      <w:r w:rsidR="00404AAA">
        <w:rPr>
          <w:rFonts w:ascii="Aptos" w:hAnsi="Aptos"/>
          <w:sz w:val="21"/>
          <w:szCs w:val="21"/>
        </w:rPr>
        <w:t xml:space="preserve"> uknjiženi </w:t>
      </w:r>
      <w:r w:rsidR="00404AAA" w:rsidRPr="004D4B78">
        <w:rPr>
          <w:rFonts w:ascii="Aptos" w:hAnsi="Aptos"/>
          <w:sz w:val="21"/>
          <w:szCs w:val="21"/>
        </w:rPr>
        <w:t xml:space="preserve">stambeni prostori u vlasništvu Grada Bakra koji nisu </w:t>
      </w:r>
      <w:r w:rsidR="00404AAA">
        <w:rPr>
          <w:rFonts w:ascii="Aptos" w:hAnsi="Aptos"/>
          <w:sz w:val="21"/>
          <w:szCs w:val="21"/>
        </w:rPr>
        <w:t xml:space="preserve">bili </w:t>
      </w:r>
      <w:r w:rsidR="00404AAA" w:rsidRPr="004D4B78">
        <w:rPr>
          <w:rFonts w:ascii="Aptos" w:hAnsi="Aptos"/>
          <w:sz w:val="21"/>
          <w:szCs w:val="21"/>
        </w:rPr>
        <w:t>evidentirani u glavnoj knjizi</w:t>
      </w:r>
      <w:r w:rsidR="00404AAA">
        <w:rPr>
          <w:rFonts w:ascii="Aptos" w:hAnsi="Aptos"/>
          <w:sz w:val="21"/>
          <w:szCs w:val="21"/>
        </w:rPr>
        <w:t>.</w:t>
      </w:r>
    </w:p>
    <w:p w14:paraId="3B67BE8E" w14:textId="55918F12" w:rsidR="00404AAA" w:rsidRDefault="00404AAA" w:rsidP="00B60509">
      <w:pPr>
        <w:spacing w:before="60" w:after="60"/>
        <w:ind w:left="-425" w:right="-380" w:firstLine="284"/>
        <w:jc w:val="both"/>
        <w:rPr>
          <w:rFonts w:ascii="Aptos" w:hAnsi="Aptos" w:cstheme="minorHAnsi"/>
          <w:sz w:val="21"/>
          <w:szCs w:val="21"/>
        </w:rPr>
      </w:pPr>
      <w:r w:rsidRPr="00B60509">
        <w:rPr>
          <w:rFonts w:ascii="Aptos" w:hAnsi="Aptos" w:cstheme="minorHAnsi"/>
          <w:sz w:val="21"/>
          <w:szCs w:val="21"/>
        </w:rPr>
        <w:t xml:space="preserve">Vrijednost postrojenja i opreme na dan 31.12.2025. godine iznosi 751.819,08 € ili 21,2% više nego prošle godine. Pri tome je evidentno značajnije povećanje vrijednosti opreme za održavanje i zaštitu obzirom da je tijekom 2025. godine nabavljeno opreme u vrijednosti od 131.192,57 €, a koja obuhvaća nabavu klima uređaja za ambulantu Bakar i </w:t>
      </w:r>
      <w:proofErr w:type="spellStart"/>
      <w:r w:rsidRPr="00B60509">
        <w:rPr>
          <w:rFonts w:ascii="Aptos" w:hAnsi="Aptos" w:cstheme="minorHAnsi"/>
          <w:sz w:val="21"/>
          <w:szCs w:val="21"/>
        </w:rPr>
        <w:t>Hreljin</w:t>
      </w:r>
      <w:proofErr w:type="spellEnd"/>
      <w:r w:rsidRPr="00B60509">
        <w:rPr>
          <w:rFonts w:ascii="Aptos" w:hAnsi="Aptos" w:cstheme="minorHAnsi"/>
          <w:sz w:val="21"/>
          <w:szCs w:val="21"/>
        </w:rPr>
        <w:t xml:space="preserve"> i DVD Bakar, nabavu sustava </w:t>
      </w:r>
      <w:proofErr w:type="spellStart"/>
      <w:r w:rsidRPr="00B60509">
        <w:rPr>
          <w:rFonts w:ascii="Aptos" w:hAnsi="Aptos" w:cstheme="minorHAnsi"/>
          <w:sz w:val="21"/>
          <w:szCs w:val="21"/>
        </w:rPr>
        <w:t>protuprovale</w:t>
      </w:r>
      <w:proofErr w:type="spellEnd"/>
      <w:r w:rsidRPr="00B60509">
        <w:rPr>
          <w:rFonts w:ascii="Aptos" w:hAnsi="Aptos" w:cstheme="minorHAnsi"/>
          <w:sz w:val="21"/>
          <w:szCs w:val="21"/>
        </w:rPr>
        <w:t xml:space="preserve"> u Domu kulture Bakar, nabavu </w:t>
      </w:r>
      <w:r w:rsidR="00B60509" w:rsidRPr="00B60509">
        <w:rPr>
          <w:rFonts w:ascii="Aptos" w:hAnsi="Aptos" w:cstheme="minorHAnsi"/>
          <w:sz w:val="21"/>
          <w:szCs w:val="21"/>
        </w:rPr>
        <w:t>s</w:t>
      </w:r>
      <w:r w:rsidRPr="00404AAA">
        <w:rPr>
          <w:rFonts w:ascii="Aptos" w:hAnsi="Aptos" w:cstheme="minorHAnsi"/>
          <w:sz w:val="21"/>
          <w:szCs w:val="21"/>
        </w:rPr>
        <w:t>ustav</w:t>
      </w:r>
      <w:r w:rsidR="00B60509" w:rsidRPr="00B60509">
        <w:rPr>
          <w:rFonts w:ascii="Aptos" w:hAnsi="Aptos" w:cstheme="minorHAnsi"/>
          <w:sz w:val="21"/>
          <w:szCs w:val="21"/>
        </w:rPr>
        <w:t>a</w:t>
      </w:r>
      <w:r w:rsidRPr="00404AAA">
        <w:rPr>
          <w:rFonts w:ascii="Aptos" w:hAnsi="Aptos" w:cstheme="minorHAnsi"/>
          <w:sz w:val="21"/>
          <w:szCs w:val="21"/>
        </w:rPr>
        <w:t xml:space="preserve"> videonadzora javnih površina u Bakru</w:t>
      </w:r>
      <w:r w:rsidR="00B60509" w:rsidRPr="00B60509">
        <w:rPr>
          <w:rFonts w:ascii="Aptos" w:hAnsi="Aptos" w:cstheme="minorHAnsi"/>
          <w:sz w:val="21"/>
          <w:szCs w:val="21"/>
        </w:rPr>
        <w:t>, nabavu s</w:t>
      </w:r>
      <w:r w:rsidR="00B60509" w:rsidRPr="00404AAA">
        <w:rPr>
          <w:rFonts w:ascii="Aptos" w:hAnsi="Aptos" w:cstheme="minorHAnsi"/>
          <w:sz w:val="21"/>
          <w:szCs w:val="21"/>
        </w:rPr>
        <w:t>ustav</w:t>
      </w:r>
      <w:r w:rsidR="00B60509" w:rsidRPr="00B60509">
        <w:rPr>
          <w:rFonts w:ascii="Aptos" w:hAnsi="Aptos" w:cstheme="minorHAnsi"/>
          <w:sz w:val="21"/>
          <w:szCs w:val="21"/>
        </w:rPr>
        <w:t>a</w:t>
      </w:r>
      <w:r w:rsidR="00B60509" w:rsidRPr="00404AAA">
        <w:rPr>
          <w:rFonts w:ascii="Aptos" w:hAnsi="Aptos" w:cstheme="minorHAnsi"/>
          <w:sz w:val="21"/>
          <w:szCs w:val="21"/>
        </w:rPr>
        <w:t xml:space="preserve"> video / foto nadzora za sprječavanje odbacivanja otpada u okoliš</w:t>
      </w:r>
      <w:r w:rsidR="00B60509" w:rsidRPr="00B60509">
        <w:rPr>
          <w:rFonts w:ascii="Aptos" w:hAnsi="Aptos" w:cstheme="minorHAnsi"/>
          <w:sz w:val="21"/>
          <w:szCs w:val="21"/>
        </w:rPr>
        <w:t xml:space="preserve"> i sl.</w:t>
      </w:r>
    </w:p>
    <w:p w14:paraId="13D346A0" w14:textId="2F43BB94" w:rsidR="00B60509" w:rsidRDefault="00B60509" w:rsidP="00B60509">
      <w:pPr>
        <w:spacing w:before="60" w:after="60"/>
        <w:ind w:left="-425" w:right="-380" w:firstLine="284"/>
        <w:jc w:val="both"/>
        <w:rPr>
          <w:rFonts w:ascii="Aptos" w:hAnsi="Aptos" w:cstheme="minorHAnsi"/>
          <w:sz w:val="21"/>
          <w:szCs w:val="21"/>
        </w:rPr>
      </w:pPr>
      <w:r>
        <w:rPr>
          <w:rFonts w:ascii="Aptos" w:hAnsi="Aptos" w:cstheme="minorHAnsi"/>
          <w:sz w:val="21"/>
          <w:szCs w:val="21"/>
        </w:rPr>
        <w:t xml:space="preserve">U okviru sportske i glazbene opreme – šifra 0226 nabavljeno je opreme u vrijednosti od 59.166,14 € koja obuhvaća sportsku opremu za igralište OŠ </w:t>
      </w:r>
      <w:proofErr w:type="spellStart"/>
      <w:r>
        <w:rPr>
          <w:rFonts w:ascii="Aptos" w:hAnsi="Aptos" w:cstheme="minorHAnsi"/>
          <w:sz w:val="21"/>
          <w:szCs w:val="21"/>
        </w:rPr>
        <w:t>Hreljin</w:t>
      </w:r>
      <w:proofErr w:type="spellEnd"/>
      <w:r>
        <w:rPr>
          <w:rFonts w:ascii="Aptos" w:hAnsi="Aptos" w:cstheme="minorHAnsi"/>
          <w:sz w:val="21"/>
          <w:szCs w:val="21"/>
        </w:rPr>
        <w:t xml:space="preserve"> i igralište SC </w:t>
      </w:r>
      <w:proofErr w:type="spellStart"/>
      <w:r>
        <w:rPr>
          <w:rFonts w:ascii="Aptos" w:hAnsi="Aptos" w:cstheme="minorHAnsi"/>
          <w:sz w:val="21"/>
          <w:szCs w:val="21"/>
        </w:rPr>
        <w:t>Hroljevo</w:t>
      </w:r>
      <w:proofErr w:type="spellEnd"/>
      <w:r>
        <w:rPr>
          <w:rFonts w:ascii="Aptos" w:hAnsi="Aptos" w:cstheme="minorHAnsi"/>
          <w:sz w:val="21"/>
          <w:szCs w:val="21"/>
        </w:rPr>
        <w:t>, kao i opremu za dječje igralište kod starog kina u Bakru.</w:t>
      </w:r>
    </w:p>
    <w:p w14:paraId="79E68694" w14:textId="5C4C0248" w:rsidR="002F3201" w:rsidRDefault="005E5645" w:rsidP="00B60509">
      <w:pPr>
        <w:spacing w:before="60" w:after="60"/>
        <w:ind w:left="-425" w:right="-380" w:firstLine="284"/>
        <w:jc w:val="both"/>
        <w:rPr>
          <w:rFonts w:ascii="Aptos" w:hAnsi="Aptos" w:cstheme="minorHAnsi"/>
          <w:sz w:val="21"/>
          <w:szCs w:val="21"/>
        </w:rPr>
      </w:pPr>
      <w:r w:rsidRPr="00467A41">
        <w:rPr>
          <w:rFonts w:ascii="Aptos" w:hAnsi="Aptos" w:cstheme="minorHAnsi"/>
          <w:sz w:val="21"/>
          <w:szCs w:val="21"/>
        </w:rPr>
        <w:t>Vrijednost nematerijalne proizvedene imovine</w:t>
      </w:r>
      <w:r w:rsidR="00B60509">
        <w:rPr>
          <w:rFonts w:ascii="Aptos" w:hAnsi="Aptos" w:cstheme="minorHAnsi"/>
          <w:sz w:val="21"/>
          <w:szCs w:val="21"/>
        </w:rPr>
        <w:t xml:space="preserve"> – šifra 026 </w:t>
      </w:r>
      <w:r w:rsidRPr="00467A41">
        <w:rPr>
          <w:rFonts w:ascii="Aptos" w:hAnsi="Aptos" w:cstheme="minorHAnsi"/>
          <w:sz w:val="21"/>
          <w:szCs w:val="21"/>
        </w:rPr>
        <w:t xml:space="preserve"> na kraju obračunskog razdoblja iznosi </w:t>
      </w:r>
      <w:r w:rsidR="00B60509">
        <w:rPr>
          <w:rFonts w:ascii="Aptos" w:hAnsi="Aptos" w:cstheme="minorHAnsi"/>
          <w:sz w:val="21"/>
          <w:szCs w:val="21"/>
        </w:rPr>
        <w:t>274.077,40</w:t>
      </w:r>
      <w:r w:rsidR="00D674BE" w:rsidRPr="00467A41">
        <w:rPr>
          <w:rFonts w:ascii="Aptos" w:hAnsi="Aptos" w:cstheme="minorHAnsi"/>
          <w:sz w:val="21"/>
          <w:szCs w:val="21"/>
        </w:rPr>
        <w:t xml:space="preserve"> €,</w:t>
      </w:r>
      <w:r w:rsidRPr="00467A41">
        <w:rPr>
          <w:rFonts w:ascii="Aptos" w:hAnsi="Aptos" w:cstheme="minorHAnsi"/>
          <w:sz w:val="21"/>
          <w:szCs w:val="21"/>
        </w:rPr>
        <w:t xml:space="preserve"> što je u odnosu na istu imovinu u 202</w:t>
      </w:r>
      <w:r w:rsidR="00B60509">
        <w:rPr>
          <w:rFonts w:ascii="Aptos" w:hAnsi="Aptos" w:cstheme="minorHAnsi"/>
          <w:sz w:val="21"/>
          <w:szCs w:val="21"/>
        </w:rPr>
        <w:t>4</w:t>
      </w:r>
      <w:r w:rsidRPr="00467A41">
        <w:rPr>
          <w:rFonts w:ascii="Aptos" w:hAnsi="Aptos" w:cstheme="minorHAnsi"/>
          <w:sz w:val="21"/>
          <w:szCs w:val="21"/>
        </w:rPr>
        <w:t xml:space="preserve">. godini  </w:t>
      </w:r>
      <w:r w:rsidR="00B60509">
        <w:rPr>
          <w:rFonts w:ascii="Aptos" w:hAnsi="Aptos" w:cstheme="minorHAnsi"/>
          <w:sz w:val="21"/>
          <w:szCs w:val="21"/>
        </w:rPr>
        <w:t xml:space="preserve">veće </w:t>
      </w:r>
      <w:r w:rsidR="00D674BE" w:rsidRPr="00467A41">
        <w:rPr>
          <w:rFonts w:ascii="Aptos" w:hAnsi="Aptos" w:cstheme="minorHAnsi"/>
          <w:sz w:val="21"/>
          <w:szCs w:val="21"/>
        </w:rPr>
        <w:t xml:space="preserve">za </w:t>
      </w:r>
      <w:r w:rsidR="00B60509">
        <w:rPr>
          <w:rFonts w:ascii="Aptos" w:hAnsi="Aptos" w:cstheme="minorHAnsi"/>
          <w:sz w:val="21"/>
          <w:szCs w:val="21"/>
        </w:rPr>
        <w:t>7,8</w:t>
      </w:r>
      <w:r w:rsidR="00D674BE" w:rsidRPr="00467A41">
        <w:rPr>
          <w:rFonts w:ascii="Aptos" w:hAnsi="Aptos" w:cstheme="minorHAnsi"/>
          <w:sz w:val="21"/>
          <w:szCs w:val="21"/>
        </w:rPr>
        <w:t>%.</w:t>
      </w:r>
      <w:r w:rsidR="00B60509">
        <w:rPr>
          <w:rFonts w:ascii="Aptos" w:hAnsi="Aptos" w:cstheme="minorHAnsi"/>
          <w:sz w:val="21"/>
          <w:szCs w:val="21"/>
        </w:rPr>
        <w:t xml:space="preserve"> </w:t>
      </w:r>
      <w:r w:rsidRPr="00467A41">
        <w:rPr>
          <w:rFonts w:ascii="Aptos" w:hAnsi="Aptos" w:cstheme="minorHAnsi"/>
          <w:sz w:val="21"/>
          <w:szCs w:val="21"/>
        </w:rPr>
        <w:t>Tijekom 202</w:t>
      </w:r>
      <w:r w:rsidR="00B60509">
        <w:rPr>
          <w:rFonts w:ascii="Aptos" w:hAnsi="Aptos" w:cstheme="minorHAnsi"/>
          <w:sz w:val="21"/>
          <w:szCs w:val="21"/>
        </w:rPr>
        <w:t>5</w:t>
      </w:r>
      <w:r w:rsidRPr="00467A41">
        <w:rPr>
          <w:rFonts w:ascii="Aptos" w:hAnsi="Aptos" w:cstheme="minorHAnsi"/>
          <w:sz w:val="21"/>
          <w:szCs w:val="21"/>
        </w:rPr>
        <w:t xml:space="preserve">. godine nabavljena je razna programska i projektna dokumentacija u vrijednosti od </w:t>
      </w:r>
      <w:r w:rsidR="002F3201">
        <w:rPr>
          <w:rFonts w:ascii="Aptos" w:hAnsi="Aptos" w:cstheme="minorHAnsi"/>
          <w:sz w:val="21"/>
          <w:szCs w:val="21"/>
        </w:rPr>
        <w:t>122.578,28</w:t>
      </w:r>
      <w:r w:rsidR="00E53280" w:rsidRPr="00467A41">
        <w:rPr>
          <w:rFonts w:ascii="Aptos" w:hAnsi="Aptos" w:cstheme="minorHAnsi"/>
          <w:sz w:val="21"/>
          <w:szCs w:val="21"/>
        </w:rPr>
        <w:t xml:space="preserve"> </w:t>
      </w:r>
      <w:r w:rsidR="00573813" w:rsidRPr="00467A41">
        <w:rPr>
          <w:rFonts w:ascii="Aptos" w:hAnsi="Aptos" w:cstheme="minorHAnsi"/>
          <w:sz w:val="21"/>
          <w:szCs w:val="21"/>
        </w:rPr>
        <w:t>€</w:t>
      </w:r>
      <w:r w:rsidRPr="00467A41">
        <w:rPr>
          <w:rFonts w:ascii="Aptos" w:hAnsi="Aptos" w:cstheme="minorHAnsi"/>
          <w:sz w:val="21"/>
          <w:szCs w:val="21"/>
        </w:rPr>
        <w:t xml:space="preserve">, </w:t>
      </w:r>
      <w:r w:rsidR="00573813" w:rsidRPr="00467A41">
        <w:rPr>
          <w:rFonts w:ascii="Aptos" w:hAnsi="Aptos" w:cstheme="minorHAnsi"/>
          <w:sz w:val="21"/>
          <w:szCs w:val="21"/>
        </w:rPr>
        <w:t>kao što su</w:t>
      </w:r>
      <w:r w:rsidR="00E53280" w:rsidRPr="00467A41">
        <w:rPr>
          <w:rFonts w:ascii="Aptos" w:hAnsi="Aptos" w:cstheme="minorHAnsi"/>
          <w:sz w:val="21"/>
          <w:szCs w:val="21"/>
        </w:rPr>
        <w:t xml:space="preserve">: </w:t>
      </w:r>
      <w:r w:rsidR="002F3201">
        <w:rPr>
          <w:rFonts w:ascii="Aptos" w:hAnsi="Aptos" w:cstheme="minorHAnsi"/>
          <w:sz w:val="21"/>
          <w:szCs w:val="21"/>
        </w:rPr>
        <w:t xml:space="preserve">projektna dokumentacija za Vatrogasni dom </w:t>
      </w:r>
      <w:proofErr w:type="spellStart"/>
      <w:r w:rsidR="002F3201">
        <w:rPr>
          <w:rFonts w:ascii="Aptos" w:hAnsi="Aptos" w:cstheme="minorHAnsi"/>
          <w:sz w:val="21"/>
          <w:szCs w:val="21"/>
        </w:rPr>
        <w:t>Hreljin</w:t>
      </w:r>
      <w:proofErr w:type="spellEnd"/>
      <w:r w:rsidR="002F3201">
        <w:rPr>
          <w:rFonts w:ascii="Aptos" w:hAnsi="Aptos" w:cstheme="minorHAnsi"/>
          <w:sz w:val="21"/>
          <w:szCs w:val="21"/>
        </w:rPr>
        <w:t>, nadogradnja GIS sustava, prometni elaborati, procjembeni dokumenti i studije izvedivosti te informatičke aplikacije, prilagodbe i rješenja za upravljanje prihodima, kolanje dokumentacije, pisarnicu, knjigu dugotrajne imovine i sl.</w:t>
      </w:r>
    </w:p>
    <w:p w14:paraId="4AE1F520" w14:textId="521E8BDD" w:rsidR="005E5645" w:rsidRPr="00467A41" w:rsidRDefault="005E5645" w:rsidP="00966A1C">
      <w:pPr>
        <w:pStyle w:val="Tijeloteksta-uvlaka3"/>
        <w:spacing w:before="60" w:after="60"/>
        <w:ind w:left="-426" w:firstLine="0"/>
        <w:rPr>
          <w:rFonts w:ascii="Aptos" w:hAnsi="Aptos" w:cstheme="minorHAnsi"/>
          <w:b/>
          <w:sz w:val="21"/>
          <w:szCs w:val="21"/>
        </w:rPr>
      </w:pPr>
      <w:r w:rsidRPr="00467A41">
        <w:rPr>
          <w:rFonts w:ascii="Aptos" w:hAnsi="Aptos" w:cstheme="minorHAnsi"/>
          <w:b/>
          <w:sz w:val="21"/>
          <w:szCs w:val="21"/>
        </w:rPr>
        <w:t>ŠIFRA 05</w:t>
      </w:r>
      <w:r w:rsidR="00966A1C" w:rsidRPr="00467A41">
        <w:rPr>
          <w:rFonts w:ascii="Aptos" w:hAnsi="Aptos" w:cstheme="minorHAnsi"/>
          <w:b/>
          <w:sz w:val="21"/>
          <w:szCs w:val="21"/>
        </w:rPr>
        <w:t xml:space="preserve"> - </w:t>
      </w:r>
      <w:proofErr w:type="spellStart"/>
      <w:r w:rsidRPr="00467A41">
        <w:rPr>
          <w:rFonts w:ascii="Aptos" w:hAnsi="Aptos" w:cstheme="minorHAnsi"/>
          <w:b/>
          <w:sz w:val="21"/>
          <w:szCs w:val="21"/>
        </w:rPr>
        <w:t>Dugotrajna</w:t>
      </w:r>
      <w:proofErr w:type="spellEnd"/>
      <w:r w:rsidRPr="00467A41">
        <w:rPr>
          <w:rFonts w:ascii="Aptos" w:hAnsi="Aptos" w:cstheme="minorHAnsi"/>
          <w:b/>
          <w:sz w:val="21"/>
          <w:szCs w:val="21"/>
        </w:rPr>
        <w:t xml:space="preserve"> </w:t>
      </w:r>
      <w:proofErr w:type="spellStart"/>
      <w:r w:rsidRPr="00467A41">
        <w:rPr>
          <w:rFonts w:ascii="Aptos" w:hAnsi="Aptos" w:cstheme="minorHAnsi"/>
          <w:b/>
          <w:sz w:val="21"/>
          <w:szCs w:val="21"/>
        </w:rPr>
        <w:t>nefinancijska</w:t>
      </w:r>
      <w:proofErr w:type="spellEnd"/>
      <w:r w:rsidRPr="00467A41">
        <w:rPr>
          <w:rFonts w:ascii="Aptos" w:hAnsi="Aptos" w:cstheme="minorHAnsi"/>
          <w:b/>
          <w:sz w:val="21"/>
          <w:szCs w:val="21"/>
        </w:rPr>
        <w:t xml:space="preserve"> </w:t>
      </w:r>
      <w:proofErr w:type="spellStart"/>
      <w:r w:rsidRPr="00467A41">
        <w:rPr>
          <w:rFonts w:ascii="Aptos" w:hAnsi="Aptos" w:cstheme="minorHAnsi"/>
          <w:b/>
          <w:sz w:val="21"/>
          <w:szCs w:val="21"/>
        </w:rPr>
        <w:t>imovina</w:t>
      </w:r>
      <w:proofErr w:type="spellEnd"/>
      <w:r w:rsidRPr="00467A41">
        <w:rPr>
          <w:rFonts w:ascii="Aptos" w:hAnsi="Aptos" w:cstheme="minorHAnsi"/>
          <w:b/>
          <w:sz w:val="21"/>
          <w:szCs w:val="21"/>
        </w:rPr>
        <w:t xml:space="preserve"> u </w:t>
      </w:r>
      <w:proofErr w:type="spellStart"/>
      <w:r w:rsidRPr="00467A41">
        <w:rPr>
          <w:rFonts w:ascii="Aptos" w:hAnsi="Aptos" w:cstheme="minorHAnsi"/>
          <w:b/>
          <w:sz w:val="21"/>
          <w:szCs w:val="21"/>
        </w:rPr>
        <w:t>pripremi</w:t>
      </w:r>
      <w:proofErr w:type="spellEnd"/>
      <w:r w:rsidRPr="00467A41">
        <w:rPr>
          <w:rFonts w:ascii="Aptos" w:hAnsi="Aptos" w:cstheme="minorHAnsi"/>
          <w:b/>
          <w:sz w:val="21"/>
          <w:szCs w:val="21"/>
        </w:rPr>
        <w:t xml:space="preserve">  </w:t>
      </w:r>
    </w:p>
    <w:p w14:paraId="3A60652B" w14:textId="029D827F" w:rsidR="0008374B" w:rsidRPr="00467A41" w:rsidRDefault="005E5645" w:rsidP="0073735F">
      <w:pPr>
        <w:spacing w:before="60" w:after="60"/>
        <w:ind w:left="-425" w:right="-380" w:firstLine="284"/>
        <w:jc w:val="both"/>
        <w:rPr>
          <w:rFonts w:ascii="Aptos" w:hAnsi="Aptos" w:cstheme="minorHAnsi"/>
          <w:sz w:val="21"/>
          <w:szCs w:val="21"/>
        </w:rPr>
      </w:pPr>
      <w:r w:rsidRPr="00467A41">
        <w:rPr>
          <w:rFonts w:ascii="Aptos" w:hAnsi="Aptos" w:cstheme="minorHAnsi"/>
          <w:sz w:val="21"/>
          <w:szCs w:val="21"/>
        </w:rPr>
        <w:t>Vrijednost  dugotrajne nefinancijske imovine u pripremi na dan 31.12.202</w:t>
      </w:r>
      <w:r w:rsidR="002F3201">
        <w:rPr>
          <w:rFonts w:ascii="Aptos" w:hAnsi="Aptos" w:cstheme="minorHAnsi"/>
          <w:sz w:val="21"/>
          <w:szCs w:val="21"/>
        </w:rPr>
        <w:t>5</w:t>
      </w:r>
      <w:r w:rsidRPr="00467A41">
        <w:rPr>
          <w:rFonts w:ascii="Aptos" w:hAnsi="Aptos" w:cstheme="minorHAnsi"/>
          <w:sz w:val="21"/>
          <w:szCs w:val="21"/>
        </w:rPr>
        <w:t xml:space="preserve">. godine ukupno iznosi </w:t>
      </w:r>
      <w:r w:rsidR="002F3201">
        <w:rPr>
          <w:rFonts w:ascii="Aptos" w:hAnsi="Aptos" w:cstheme="minorHAnsi"/>
          <w:sz w:val="21"/>
          <w:szCs w:val="21"/>
        </w:rPr>
        <w:t>6.098.513,26</w:t>
      </w:r>
      <w:r w:rsidR="0008374B" w:rsidRPr="00467A41">
        <w:rPr>
          <w:rFonts w:ascii="Aptos" w:hAnsi="Aptos" w:cstheme="minorHAnsi"/>
          <w:sz w:val="21"/>
          <w:szCs w:val="21"/>
        </w:rPr>
        <w:t xml:space="preserve"> €</w:t>
      </w:r>
      <w:r w:rsidR="002F3201">
        <w:rPr>
          <w:rFonts w:ascii="Aptos" w:hAnsi="Aptos" w:cstheme="minorHAnsi"/>
          <w:sz w:val="21"/>
          <w:szCs w:val="21"/>
        </w:rPr>
        <w:t>, što je u odnosu na prošlu godinu manje za 41,80%.</w:t>
      </w:r>
    </w:p>
    <w:p w14:paraId="42F85F93" w14:textId="1ECB9006" w:rsidR="00152895" w:rsidRDefault="005E5645" w:rsidP="00F71111">
      <w:pPr>
        <w:spacing w:before="60" w:after="60"/>
        <w:ind w:left="-425" w:right="-380" w:firstLine="284"/>
        <w:jc w:val="both"/>
        <w:rPr>
          <w:rFonts w:ascii="Aptos" w:hAnsi="Aptos" w:cstheme="minorHAnsi"/>
          <w:sz w:val="21"/>
          <w:szCs w:val="21"/>
        </w:rPr>
      </w:pPr>
      <w:r w:rsidRPr="00467A41">
        <w:rPr>
          <w:rFonts w:ascii="Aptos" w:hAnsi="Aptos" w:cstheme="minorHAnsi"/>
          <w:sz w:val="21"/>
          <w:szCs w:val="21"/>
        </w:rPr>
        <w:t>Tijekom 202</w:t>
      </w:r>
      <w:r w:rsidR="002F3201">
        <w:rPr>
          <w:rFonts w:ascii="Aptos" w:hAnsi="Aptos" w:cstheme="minorHAnsi"/>
          <w:sz w:val="21"/>
          <w:szCs w:val="21"/>
        </w:rPr>
        <w:t>5</w:t>
      </w:r>
      <w:r w:rsidRPr="00467A41">
        <w:rPr>
          <w:rFonts w:ascii="Aptos" w:hAnsi="Aptos" w:cstheme="minorHAnsi"/>
          <w:sz w:val="21"/>
          <w:szCs w:val="21"/>
        </w:rPr>
        <w:t xml:space="preserve">. godini </w:t>
      </w:r>
      <w:r w:rsidR="00D74770" w:rsidRPr="00467A41">
        <w:rPr>
          <w:rFonts w:ascii="Aptos" w:hAnsi="Aptos" w:cstheme="minorHAnsi"/>
          <w:sz w:val="21"/>
          <w:szCs w:val="21"/>
        </w:rPr>
        <w:t xml:space="preserve">nastavljeni su odnosno </w:t>
      </w:r>
      <w:r w:rsidRPr="00467A41">
        <w:rPr>
          <w:rFonts w:ascii="Aptos" w:hAnsi="Aptos" w:cstheme="minorHAnsi"/>
          <w:sz w:val="21"/>
          <w:szCs w:val="21"/>
        </w:rPr>
        <w:t>započeti su radovi na slijedećim objektima:</w:t>
      </w:r>
      <w:r w:rsidR="0008374B" w:rsidRPr="00467A41">
        <w:rPr>
          <w:rFonts w:ascii="Aptos" w:hAnsi="Aptos" w:cstheme="minorHAnsi"/>
          <w:sz w:val="21"/>
          <w:szCs w:val="21"/>
        </w:rPr>
        <w:t xml:space="preserve"> </w:t>
      </w:r>
      <w:r w:rsidR="00D74770" w:rsidRPr="00467A41">
        <w:rPr>
          <w:rFonts w:ascii="Aptos" w:hAnsi="Aptos" w:cstheme="minorHAnsi"/>
          <w:sz w:val="21"/>
          <w:szCs w:val="21"/>
        </w:rPr>
        <w:t xml:space="preserve">rekonstrukcija i izgradnja objekta NK Borac, </w:t>
      </w:r>
      <w:r w:rsidR="00F37794">
        <w:rPr>
          <w:rFonts w:ascii="Aptos" w:hAnsi="Aptos" w:cstheme="minorHAnsi"/>
          <w:sz w:val="21"/>
          <w:szCs w:val="21"/>
        </w:rPr>
        <w:t>rekonstrukcija i dogradnja</w:t>
      </w:r>
      <w:r w:rsidR="00F71111" w:rsidRPr="00467A41">
        <w:rPr>
          <w:rFonts w:ascii="Aptos" w:hAnsi="Aptos" w:cstheme="minorHAnsi"/>
          <w:sz w:val="21"/>
          <w:szCs w:val="21"/>
        </w:rPr>
        <w:t xml:space="preserve"> Doma kulture </w:t>
      </w:r>
      <w:r w:rsidR="00F37794">
        <w:rPr>
          <w:rFonts w:ascii="Aptos" w:hAnsi="Aptos" w:cstheme="minorHAnsi"/>
          <w:sz w:val="21"/>
          <w:szCs w:val="21"/>
        </w:rPr>
        <w:t>Kukuljanovo</w:t>
      </w:r>
      <w:r w:rsidR="00F71111" w:rsidRPr="00467A41">
        <w:rPr>
          <w:rFonts w:ascii="Aptos" w:hAnsi="Aptos" w:cstheme="minorHAnsi"/>
          <w:sz w:val="21"/>
          <w:szCs w:val="21"/>
        </w:rPr>
        <w:t xml:space="preserve">, </w:t>
      </w:r>
      <w:r w:rsidR="00F37794">
        <w:rPr>
          <w:rFonts w:ascii="Aptos" w:hAnsi="Aptos" w:cstheme="minorHAnsi"/>
          <w:sz w:val="21"/>
          <w:szCs w:val="21"/>
        </w:rPr>
        <w:t xml:space="preserve">izgradnja prometnice A7 u Industrijskoj zoni Kukuljanovo te izgradnja Vatrogasnog doma </w:t>
      </w:r>
      <w:proofErr w:type="spellStart"/>
      <w:r w:rsidR="00F37794">
        <w:rPr>
          <w:rFonts w:ascii="Aptos" w:hAnsi="Aptos" w:cstheme="minorHAnsi"/>
          <w:sz w:val="21"/>
          <w:szCs w:val="21"/>
        </w:rPr>
        <w:t>Hreljin</w:t>
      </w:r>
      <w:proofErr w:type="spellEnd"/>
      <w:r w:rsidR="00F71111" w:rsidRPr="00467A41">
        <w:rPr>
          <w:rFonts w:ascii="Aptos" w:hAnsi="Aptos" w:cstheme="minorHAnsi"/>
          <w:sz w:val="21"/>
          <w:szCs w:val="21"/>
        </w:rPr>
        <w:t xml:space="preserve">. </w:t>
      </w:r>
      <w:r w:rsidR="00152895" w:rsidRPr="00467A41">
        <w:rPr>
          <w:rFonts w:ascii="Aptos" w:hAnsi="Aptos" w:cstheme="minorHAnsi"/>
          <w:sz w:val="21"/>
          <w:szCs w:val="21"/>
        </w:rPr>
        <w:t xml:space="preserve">Ukupna vrijednost radova iznosi </w:t>
      </w:r>
      <w:r w:rsidR="00F37794">
        <w:rPr>
          <w:rFonts w:ascii="Aptos" w:hAnsi="Aptos" w:cstheme="minorHAnsi"/>
          <w:sz w:val="21"/>
          <w:szCs w:val="21"/>
        </w:rPr>
        <w:t>2.295.930,70</w:t>
      </w:r>
      <w:r w:rsidR="00F71111" w:rsidRPr="00467A41">
        <w:rPr>
          <w:rFonts w:ascii="Aptos" w:hAnsi="Aptos" w:cstheme="minorHAnsi"/>
          <w:sz w:val="21"/>
          <w:szCs w:val="21"/>
        </w:rPr>
        <w:t xml:space="preserve"> </w:t>
      </w:r>
      <w:r w:rsidR="00152895" w:rsidRPr="00467A41">
        <w:rPr>
          <w:rFonts w:ascii="Aptos" w:hAnsi="Aptos" w:cstheme="minorHAnsi"/>
          <w:sz w:val="21"/>
          <w:szCs w:val="21"/>
        </w:rPr>
        <w:t>€.</w:t>
      </w:r>
    </w:p>
    <w:p w14:paraId="2396575F" w14:textId="66BC40C4" w:rsidR="009A7EEC" w:rsidRPr="00DD01B2" w:rsidRDefault="00F37794" w:rsidP="0000385F">
      <w:pPr>
        <w:spacing w:before="60" w:after="60"/>
        <w:ind w:left="-425" w:right="-380" w:firstLine="284"/>
        <w:jc w:val="both"/>
        <w:rPr>
          <w:rFonts w:ascii="Aptos" w:hAnsi="Aptos" w:cstheme="minorHAnsi"/>
          <w:sz w:val="21"/>
          <w:szCs w:val="21"/>
        </w:rPr>
      </w:pPr>
      <w:r>
        <w:rPr>
          <w:rFonts w:ascii="Aptos" w:hAnsi="Aptos" w:cstheme="minorHAnsi"/>
          <w:sz w:val="21"/>
          <w:szCs w:val="21"/>
        </w:rPr>
        <w:t xml:space="preserve">Iz imovine u pripremi na imovinu u upotrebi </w:t>
      </w:r>
      <w:proofErr w:type="spellStart"/>
      <w:r>
        <w:rPr>
          <w:rFonts w:ascii="Aptos" w:hAnsi="Aptos" w:cstheme="minorHAnsi"/>
          <w:sz w:val="21"/>
          <w:szCs w:val="21"/>
        </w:rPr>
        <w:t>preknjiženo</w:t>
      </w:r>
      <w:proofErr w:type="spellEnd"/>
      <w:r>
        <w:rPr>
          <w:rFonts w:ascii="Aptos" w:hAnsi="Aptos" w:cstheme="minorHAnsi"/>
          <w:sz w:val="21"/>
          <w:szCs w:val="21"/>
        </w:rPr>
        <w:t xml:space="preserve"> je 479.756,80 € koja se odnosi na Dom kulture </w:t>
      </w:r>
      <w:proofErr w:type="spellStart"/>
      <w:r>
        <w:rPr>
          <w:rFonts w:ascii="Aptos" w:hAnsi="Aptos" w:cstheme="minorHAnsi"/>
          <w:sz w:val="21"/>
          <w:szCs w:val="21"/>
        </w:rPr>
        <w:t>Krasica</w:t>
      </w:r>
      <w:proofErr w:type="spellEnd"/>
      <w:r>
        <w:rPr>
          <w:rFonts w:ascii="Aptos" w:hAnsi="Aptos" w:cstheme="minorHAnsi"/>
          <w:sz w:val="21"/>
          <w:szCs w:val="21"/>
        </w:rPr>
        <w:t xml:space="preserve"> i projekte za uređenje stanova na adresi Nautička 5, dok je 6.260.152,61 € isknjiženo iz knjige dugotrajne imovine obzirom da je riječ o imovini koja je </w:t>
      </w:r>
      <w:r w:rsidRPr="00562300">
        <w:rPr>
          <w:rFonts w:ascii="Aptos" w:hAnsi="Aptos" w:cstheme="minorHAnsi"/>
          <w:sz w:val="21"/>
          <w:szCs w:val="21"/>
        </w:rPr>
        <w:t>prema odredbama Zakona o vodnim uslugama u vlasništvu su javnoga isporučitelja vodnih usluga na uslužnom području</w:t>
      </w:r>
      <w:r w:rsidR="00777B7B">
        <w:rPr>
          <w:rFonts w:ascii="Aptos" w:hAnsi="Aptos" w:cstheme="minorHAnsi"/>
          <w:sz w:val="21"/>
          <w:szCs w:val="21"/>
        </w:rPr>
        <w:t xml:space="preserve">: vodoopskrba naselja </w:t>
      </w:r>
      <w:proofErr w:type="spellStart"/>
      <w:r w:rsidR="00777B7B">
        <w:rPr>
          <w:rFonts w:ascii="Aptos" w:hAnsi="Aptos" w:cstheme="minorHAnsi"/>
          <w:sz w:val="21"/>
          <w:szCs w:val="21"/>
        </w:rPr>
        <w:t>Melnice</w:t>
      </w:r>
      <w:proofErr w:type="spellEnd"/>
      <w:r w:rsidR="00777B7B">
        <w:rPr>
          <w:rFonts w:ascii="Aptos" w:hAnsi="Aptos" w:cstheme="minorHAnsi"/>
          <w:sz w:val="21"/>
          <w:szCs w:val="21"/>
        </w:rPr>
        <w:t xml:space="preserve"> i vodovodni ogranci.</w:t>
      </w:r>
    </w:p>
    <w:p w14:paraId="3A6F734E" w14:textId="6C0855E9" w:rsidR="003573A7" w:rsidRPr="00DD01B2" w:rsidRDefault="00ED7F4F" w:rsidP="009A7EEC">
      <w:pPr>
        <w:pBdr>
          <w:top w:val="single" w:sz="4" w:space="1" w:color="auto"/>
          <w:left w:val="single" w:sz="4" w:space="4" w:color="auto"/>
          <w:bottom w:val="single" w:sz="4" w:space="1" w:color="auto"/>
          <w:right w:val="single" w:sz="4" w:space="19" w:color="auto"/>
        </w:pBdr>
        <w:spacing w:before="60" w:after="60"/>
        <w:ind w:left="-425"/>
        <w:jc w:val="center"/>
        <w:rPr>
          <w:rFonts w:ascii="Aptos" w:hAnsi="Aptos" w:cstheme="minorHAnsi"/>
          <w:b/>
          <w:sz w:val="21"/>
          <w:szCs w:val="21"/>
        </w:rPr>
      </w:pPr>
      <w:r w:rsidRPr="00DD01B2">
        <w:rPr>
          <w:rFonts w:ascii="Aptos" w:hAnsi="Aptos" w:cstheme="minorHAnsi"/>
          <w:b/>
          <w:sz w:val="21"/>
          <w:szCs w:val="21"/>
        </w:rPr>
        <w:t>FINANCIJSKA IMOVINA</w:t>
      </w:r>
    </w:p>
    <w:p w14:paraId="742888E8" w14:textId="75787D77" w:rsidR="00287EB0" w:rsidRPr="00DD01B2" w:rsidRDefault="00B3766C" w:rsidP="003B3F6F">
      <w:pPr>
        <w:spacing w:before="60" w:after="60"/>
        <w:ind w:left="-426" w:right="-380"/>
        <w:jc w:val="both"/>
        <w:rPr>
          <w:rFonts w:ascii="Aptos" w:hAnsi="Aptos" w:cstheme="minorHAnsi"/>
          <w:b/>
          <w:sz w:val="21"/>
          <w:szCs w:val="21"/>
        </w:rPr>
      </w:pPr>
      <w:r w:rsidRPr="00DD01B2">
        <w:rPr>
          <w:rFonts w:ascii="Aptos" w:hAnsi="Aptos" w:cstheme="minorHAnsi"/>
          <w:b/>
          <w:sz w:val="21"/>
          <w:szCs w:val="21"/>
        </w:rPr>
        <w:t>ŠIFRA 11</w:t>
      </w:r>
      <w:r w:rsidR="003B4AE3" w:rsidRPr="00DD01B2">
        <w:rPr>
          <w:rFonts w:ascii="Aptos" w:hAnsi="Aptos" w:cstheme="minorHAnsi"/>
          <w:b/>
          <w:sz w:val="21"/>
          <w:szCs w:val="21"/>
        </w:rPr>
        <w:t xml:space="preserve"> - Novac u banci i blagajni</w:t>
      </w:r>
    </w:p>
    <w:p w14:paraId="4C3C11E3" w14:textId="72C8A1D1" w:rsidR="003308A8" w:rsidRDefault="00ED7F4F" w:rsidP="008D327D">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Stanje </w:t>
      </w:r>
      <w:r w:rsidR="003308A8">
        <w:rPr>
          <w:rFonts w:ascii="Aptos" w:hAnsi="Aptos" w:cstheme="minorHAnsi"/>
          <w:sz w:val="21"/>
          <w:szCs w:val="21"/>
        </w:rPr>
        <w:t xml:space="preserve">novca u banci i blagajni na dan 31.12.2025. godine veće je za 9,9% u odnosu na stanje prethodne godine, pri čemu je najveće odstupanje evidentno kod stanja izdvojenih novčanih sredstava (šifra 1121) zbog otvaranja novih depozitnih računa u svrhu osiguravanja sredstava za </w:t>
      </w:r>
      <w:r w:rsidR="003308A8" w:rsidRPr="003308A8">
        <w:rPr>
          <w:rFonts w:ascii="Aptos" w:hAnsi="Aptos" w:cstheme="minorHAnsi"/>
          <w:sz w:val="21"/>
          <w:szCs w:val="21"/>
        </w:rPr>
        <w:t xml:space="preserve">naknade za izvlaštenje </w:t>
      </w:r>
      <w:r w:rsidR="003308A8">
        <w:rPr>
          <w:rFonts w:ascii="Aptos" w:hAnsi="Aptos" w:cstheme="minorHAnsi"/>
          <w:sz w:val="21"/>
          <w:szCs w:val="21"/>
        </w:rPr>
        <w:t xml:space="preserve">i troškove postupka </w:t>
      </w:r>
      <w:r w:rsidR="003308A8" w:rsidRPr="003308A8">
        <w:rPr>
          <w:rFonts w:ascii="Aptos" w:hAnsi="Aptos" w:cstheme="minorHAnsi"/>
          <w:sz w:val="21"/>
          <w:szCs w:val="21"/>
        </w:rPr>
        <w:t xml:space="preserve">izvlaštenja zemljišta za </w:t>
      </w:r>
      <w:r w:rsidR="003308A8">
        <w:rPr>
          <w:rFonts w:ascii="Aptos" w:hAnsi="Aptos" w:cstheme="minorHAnsi"/>
          <w:sz w:val="21"/>
          <w:szCs w:val="21"/>
        </w:rPr>
        <w:t>iz</w:t>
      </w:r>
      <w:r w:rsidR="003308A8" w:rsidRPr="003308A8">
        <w:rPr>
          <w:rFonts w:ascii="Aptos" w:hAnsi="Aptos" w:cstheme="minorHAnsi"/>
          <w:sz w:val="21"/>
          <w:szCs w:val="21"/>
        </w:rPr>
        <w:t>gradnju garaže u Bakru</w:t>
      </w:r>
      <w:r w:rsidR="003308A8">
        <w:rPr>
          <w:rFonts w:ascii="Aptos" w:hAnsi="Aptos" w:cstheme="minorHAnsi"/>
          <w:sz w:val="21"/>
          <w:szCs w:val="21"/>
        </w:rPr>
        <w:t>.</w:t>
      </w:r>
    </w:p>
    <w:p w14:paraId="309B344F" w14:textId="1DFE9420" w:rsidR="00CE539D" w:rsidRPr="00DD01B2" w:rsidRDefault="00B3766C" w:rsidP="003B3F6F">
      <w:pPr>
        <w:spacing w:before="60" w:after="60"/>
        <w:ind w:left="-426" w:right="-380"/>
        <w:jc w:val="both"/>
        <w:rPr>
          <w:rFonts w:ascii="Aptos" w:hAnsi="Aptos" w:cstheme="minorHAnsi"/>
          <w:b/>
          <w:sz w:val="21"/>
          <w:szCs w:val="21"/>
        </w:rPr>
      </w:pPr>
      <w:r w:rsidRPr="00DD01B2">
        <w:rPr>
          <w:rFonts w:ascii="Aptos" w:hAnsi="Aptos" w:cstheme="minorHAnsi"/>
          <w:b/>
          <w:sz w:val="21"/>
          <w:szCs w:val="21"/>
        </w:rPr>
        <w:t>ŠIFRA 12</w:t>
      </w:r>
      <w:r w:rsidR="00CE539D" w:rsidRPr="00DD01B2">
        <w:rPr>
          <w:rFonts w:ascii="Aptos" w:hAnsi="Aptos" w:cstheme="minorHAnsi"/>
          <w:b/>
          <w:sz w:val="21"/>
          <w:szCs w:val="21"/>
        </w:rPr>
        <w:t xml:space="preserve"> - Potraživanja </w:t>
      </w:r>
      <w:r w:rsidR="003308A8">
        <w:rPr>
          <w:rFonts w:ascii="Aptos" w:hAnsi="Aptos" w:cstheme="minorHAnsi"/>
          <w:b/>
          <w:sz w:val="21"/>
          <w:szCs w:val="21"/>
        </w:rPr>
        <w:t xml:space="preserve">za </w:t>
      </w:r>
      <w:proofErr w:type="spellStart"/>
      <w:r w:rsidR="003308A8">
        <w:rPr>
          <w:rFonts w:ascii="Aptos" w:hAnsi="Aptos" w:cstheme="minorHAnsi"/>
          <w:b/>
          <w:sz w:val="21"/>
          <w:szCs w:val="21"/>
        </w:rPr>
        <w:t>jamčevne</w:t>
      </w:r>
      <w:proofErr w:type="spellEnd"/>
      <w:r w:rsidR="003308A8">
        <w:rPr>
          <w:rFonts w:ascii="Aptos" w:hAnsi="Aptos" w:cstheme="minorHAnsi"/>
          <w:b/>
          <w:sz w:val="21"/>
          <w:szCs w:val="21"/>
        </w:rPr>
        <w:t xml:space="preserve"> </w:t>
      </w:r>
      <w:proofErr w:type="spellStart"/>
      <w:r w:rsidR="003308A8">
        <w:rPr>
          <w:rFonts w:ascii="Aptos" w:hAnsi="Aptos" w:cstheme="minorHAnsi"/>
          <w:b/>
          <w:sz w:val="21"/>
          <w:szCs w:val="21"/>
        </w:rPr>
        <w:t>pologe</w:t>
      </w:r>
      <w:proofErr w:type="spellEnd"/>
      <w:r w:rsidR="003308A8">
        <w:rPr>
          <w:rFonts w:ascii="Aptos" w:hAnsi="Aptos" w:cstheme="minorHAnsi"/>
          <w:b/>
          <w:sz w:val="21"/>
          <w:szCs w:val="21"/>
        </w:rPr>
        <w:t xml:space="preserve">, od </w:t>
      </w:r>
      <w:r w:rsidR="00CE539D" w:rsidRPr="00DD01B2">
        <w:rPr>
          <w:rFonts w:ascii="Aptos" w:hAnsi="Aptos" w:cstheme="minorHAnsi"/>
          <w:b/>
          <w:sz w:val="21"/>
          <w:szCs w:val="21"/>
        </w:rPr>
        <w:t>zaposlenih i ostala potraživanja</w:t>
      </w:r>
    </w:p>
    <w:p w14:paraId="0E6F1AB1" w14:textId="0AA1C51A" w:rsidR="00C06E7F" w:rsidRPr="00DD01B2" w:rsidRDefault="00CE539D" w:rsidP="005F0156">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Potraživanja od zaposlenih</w:t>
      </w:r>
      <w:r w:rsidR="00701352" w:rsidRPr="00DD01B2">
        <w:rPr>
          <w:rFonts w:ascii="Aptos" w:hAnsi="Aptos" w:cstheme="minorHAnsi"/>
          <w:sz w:val="21"/>
          <w:szCs w:val="21"/>
        </w:rPr>
        <w:t xml:space="preserve"> – šifra 123</w:t>
      </w:r>
      <w:r w:rsidRPr="00DD01B2">
        <w:rPr>
          <w:rFonts w:ascii="Aptos" w:hAnsi="Aptos" w:cstheme="minorHAnsi"/>
          <w:sz w:val="21"/>
          <w:szCs w:val="21"/>
        </w:rPr>
        <w:t xml:space="preserve"> u iznosu od </w:t>
      </w:r>
      <w:r w:rsidR="003308A8">
        <w:rPr>
          <w:rFonts w:ascii="Aptos" w:hAnsi="Aptos" w:cstheme="minorHAnsi"/>
          <w:sz w:val="21"/>
          <w:szCs w:val="21"/>
        </w:rPr>
        <w:t>1.635,22</w:t>
      </w:r>
      <w:r w:rsidR="00701352" w:rsidRPr="00DD01B2">
        <w:rPr>
          <w:rFonts w:ascii="Aptos" w:hAnsi="Aptos" w:cstheme="minorHAnsi"/>
          <w:sz w:val="21"/>
          <w:szCs w:val="21"/>
        </w:rPr>
        <w:t xml:space="preserve"> € </w:t>
      </w:r>
      <w:r w:rsidRPr="00DD01B2">
        <w:rPr>
          <w:rFonts w:ascii="Aptos" w:hAnsi="Aptos" w:cstheme="minorHAnsi"/>
          <w:sz w:val="21"/>
          <w:szCs w:val="21"/>
        </w:rPr>
        <w:t xml:space="preserve">odnose se na </w:t>
      </w:r>
      <w:r w:rsidR="00C06E7F" w:rsidRPr="00DD01B2">
        <w:rPr>
          <w:rFonts w:ascii="Aptos" w:hAnsi="Aptos" w:cstheme="minorHAnsi"/>
          <w:sz w:val="21"/>
          <w:szCs w:val="21"/>
        </w:rPr>
        <w:t>godišnji iznos participacije zaposlenih u godišnjoj premiji dopunskog i zdravstvenog osiguranja, koji će se namiriti obustavom od plaće zaposlenih u 202</w:t>
      </w:r>
      <w:r w:rsidR="003308A8">
        <w:rPr>
          <w:rFonts w:ascii="Aptos" w:hAnsi="Aptos" w:cstheme="minorHAnsi"/>
          <w:sz w:val="21"/>
          <w:szCs w:val="21"/>
        </w:rPr>
        <w:t>6</w:t>
      </w:r>
      <w:r w:rsidR="00C06E7F" w:rsidRPr="00DD01B2">
        <w:rPr>
          <w:rFonts w:ascii="Aptos" w:hAnsi="Aptos" w:cstheme="minorHAnsi"/>
          <w:sz w:val="21"/>
          <w:szCs w:val="21"/>
        </w:rPr>
        <w:t>. godini.</w:t>
      </w:r>
    </w:p>
    <w:p w14:paraId="268F9708" w14:textId="478D1F13" w:rsidR="008D327D" w:rsidRDefault="008D327D" w:rsidP="005F0156">
      <w:pPr>
        <w:spacing w:before="60" w:after="60"/>
        <w:ind w:left="-425" w:right="-380" w:firstLine="284"/>
        <w:jc w:val="both"/>
        <w:rPr>
          <w:rFonts w:ascii="Aptos" w:hAnsi="Aptos" w:cstheme="minorHAnsi"/>
          <w:sz w:val="21"/>
          <w:szCs w:val="21"/>
        </w:rPr>
      </w:pPr>
      <w:r>
        <w:rPr>
          <w:rFonts w:ascii="Aptos" w:hAnsi="Aptos" w:cstheme="minorHAnsi"/>
          <w:sz w:val="21"/>
          <w:szCs w:val="21"/>
        </w:rPr>
        <w:t>Stanje o</w:t>
      </w:r>
      <w:r w:rsidR="00932A32" w:rsidRPr="00DD01B2">
        <w:rPr>
          <w:rFonts w:ascii="Aptos" w:hAnsi="Aptos" w:cstheme="minorHAnsi"/>
          <w:sz w:val="21"/>
          <w:szCs w:val="21"/>
        </w:rPr>
        <w:t>stal</w:t>
      </w:r>
      <w:r>
        <w:rPr>
          <w:rFonts w:ascii="Aptos" w:hAnsi="Aptos" w:cstheme="minorHAnsi"/>
          <w:sz w:val="21"/>
          <w:szCs w:val="21"/>
        </w:rPr>
        <w:t>ih</w:t>
      </w:r>
      <w:r w:rsidR="00932A32" w:rsidRPr="00DD01B2">
        <w:rPr>
          <w:rFonts w:ascii="Aptos" w:hAnsi="Aptos" w:cstheme="minorHAnsi"/>
          <w:sz w:val="21"/>
          <w:szCs w:val="21"/>
        </w:rPr>
        <w:t xml:space="preserve"> potraživanja</w:t>
      </w:r>
      <w:r w:rsidR="00701352" w:rsidRPr="00DD01B2">
        <w:rPr>
          <w:rFonts w:ascii="Aptos" w:hAnsi="Aptos" w:cstheme="minorHAnsi"/>
          <w:sz w:val="21"/>
          <w:szCs w:val="21"/>
        </w:rPr>
        <w:t xml:space="preserve"> – šifra 129</w:t>
      </w:r>
      <w:r w:rsidR="00932A32" w:rsidRPr="00DD01B2">
        <w:rPr>
          <w:rFonts w:ascii="Aptos" w:hAnsi="Aptos" w:cstheme="minorHAnsi"/>
          <w:sz w:val="21"/>
          <w:szCs w:val="21"/>
        </w:rPr>
        <w:t xml:space="preserve"> </w:t>
      </w:r>
      <w:r>
        <w:rPr>
          <w:rFonts w:ascii="Aptos" w:hAnsi="Aptos" w:cstheme="minorHAnsi"/>
          <w:sz w:val="21"/>
          <w:szCs w:val="21"/>
        </w:rPr>
        <w:t xml:space="preserve">značajno odstupa u odnosu na stanje prošle godine obzirom na evidentiranje potraživanja prema </w:t>
      </w:r>
      <w:r w:rsidRPr="008D327D">
        <w:rPr>
          <w:rFonts w:ascii="Aptos" w:hAnsi="Aptos" w:cstheme="minorHAnsi"/>
          <w:sz w:val="21"/>
          <w:szCs w:val="21"/>
        </w:rPr>
        <w:t>HEP</w:t>
      </w:r>
      <w:r>
        <w:rPr>
          <w:rFonts w:ascii="Aptos" w:hAnsi="Aptos" w:cstheme="minorHAnsi"/>
          <w:sz w:val="21"/>
          <w:szCs w:val="21"/>
        </w:rPr>
        <w:t xml:space="preserve"> -</w:t>
      </w:r>
      <w:r w:rsidRPr="008D327D">
        <w:rPr>
          <w:rFonts w:ascii="Aptos" w:hAnsi="Aptos" w:cstheme="minorHAnsi"/>
          <w:sz w:val="21"/>
          <w:szCs w:val="21"/>
        </w:rPr>
        <w:t xml:space="preserve"> Operator distribucijskog sustava d.o.o</w:t>
      </w:r>
      <w:r>
        <w:rPr>
          <w:rFonts w:ascii="Aptos" w:hAnsi="Aptos" w:cstheme="minorHAnsi"/>
          <w:sz w:val="21"/>
          <w:szCs w:val="21"/>
        </w:rPr>
        <w:t xml:space="preserve">. za </w:t>
      </w:r>
      <w:r w:rsidR="00FB7C5D">
        <w:rPr>
          <w:rFonts w:ascii="Aptos" w:hAnsi="Aptos" w:cstheme="minorHAnsi"/>
          <w:sz w:val="21"/>
          <w:szCs w:val="21"/>
        </w:rPr>
        <w:t>i</w:t>
      </w:r>
      <w:r w:rsidR="00FB7C5D" w:rsidRPr="00FB7C5D">
        <w:rPr>
          <w:rFonts w:ascii="Aptos" w:hAnsi="Aptos" w:cstheme="minorHAnsi"/>
          <w:sz w:val="21"/>
          <w:szCs w:val="21"/>
        </w:rPr>
        <w:t>zrad</w:t>
      </w:r>
      <w:r w:rsidR="00FB7C5D">
        <w:rPr>
          <w:rFonts w:ascii="Aptos" w:hAnsi="Aptos" w:cstheme="minorHAnsi"/>
          <w:sz w:val="21"/>
          <w:szCs w:val="21"/>
        </w:rPr>
        <w:t>u</w:t>
      </w:r>
      <w:r w:rsidR="00FB7C5D" w:rsidRPr="00FB7C5D">
        <w:rPr>
          <w:rFonts w:ascii="Aptos" w:hAnsi="Aptos" w:cstheme="minorHAnsi"/>
          <w:sz w:val="21"/>
          <w:szCs w:val="21"/>
        </w:rPr>
        <w:t xml:space="preserve"> Elaborata optimalnog </w:t>
      </w:r>
      <w:r w:rsidR="00FB7C5D" w:rsidRPr="00FB7C5D">
        <w:rPr>
          <w:rFonts w:ascii="Aptos" w:hAnsi="Aptos" w:cstheme="minorHAnsi"/>
          <w:sz w:val="21"/>
          <w:szCs w:val="21"/>
        </w:rPr>
        <w:lastRenderedPageBreak/>
        <w:t>tehničkog rješenja</w:t>
      </w:r>
      <w:r w:rsidR="00FB7C5D">
        <w:rPr>
          <w:rFonts w:ascii="Aptos" w:hAnsi="Aptos" w:cstheme="minorHAnsi"/>
          <w:sz w:val="21"/>
          <w:szCs w:val="21"/>
        </w:rPr>
        <w:t xml:space="preserve"> i troškove priključenja u okviru projekta rekonstrukcije Doma Kukuljanovo i izgradnje dječjeg vrtića Kukuljanovo.</w:t>
      </w:r>
    </w:p>
    <w:p w14:paraId="4E69C2B8" w14:textId="4E3E2A1B" w:rsidR="00B234DD" w:rsidRPr="00DD01B2" w:rsidRDefault="00B3766C" w:rsidP="00932A32">
      <w:pPr>
        <w:spacing w:before="60" w:after="60"/>
        <w:ind w:left="-426" w:right="-380"/>
        <w:jc w:val="both"/>
        <w:rPr>
          <w:rFonts w:ascii="Aptos" w:hAnsi="Aptos" w:cstheme="minorHAnsi"/>
          <w:b/>
          <w:sz w:val="21"/>
          <w:szCs w:val="21"/>
        </w:rPr>
      </w:pPr>
      <w:r w:rsidRPr="00DD01B2">
        <w:rPr>
          <w:rFonts w:ascii="Aptos" w:hAnsi="Aptos" w:cstheme="minorHAnsi"/>
          <w:b/>
          <w:sz w:val="21"/>
          <w:szCs w:val="21"/>
        </w:rPr>
        <w:t>ŠIFRA 13</w:t>
      </w:r>
      <w:r w:rsidR="00CE539D" w:rsidRPr="00DD01B2">
        <w:rPr>
          <w:rFonts w:ascii="Aptos" w:hAnsi="Aptos" w:cstheme="minorHAnsi"/>
          <w:b/>
          <w:sz w:val="21"/>
          <w:szCs w:val="21"/>
        </w:rPr>
        <w:t xml:space="preserve"> - Potraživanja za dane zajmove</w:t>
      </w:r>
      <w:r w:rsidR="00B234DD" w:rsidRPr="00DD01B2">
        <w:rPr>
          <w:rFonts w:ascii="Aptos" w:hAnsi="Aptos" w:cstheme="minorHAnsi"/>
          <w:b/>
          <w:sz w:val="21"/>
          <w:szCs w:val="21"/>
        </w:rPr>
        <w:t xml:space="preserve"> </w:t>
      </w:r>
    </w:p>
    <w:p w14:paraId="4A5FE52F" w14:textId="7395D71A" w:rsidR="008D1B48" w:rsidRPr="00DD01B2" w:rsidRDefault="00B234DD" w:rsidP="00932A32">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Potraživanja po danim zajmovima trgovačkim društvima u javnom sektoru evidentirana su sukladno Sporazumu o evidentiranju i iskazivanju  prihoda iz cijene komunalne usluge nam</w:t>
      </w:r>
      <w:r w:rsidR="008D1B48" w:rsidRPr="00DD01B2">
        <w:rPr>
          <w:rFonts w:ascii="Aptos" w:hAnsi="Aptos" w:cstheme="minorHAnsi"/>
          <w:sz w:val="21"/>
          <w:szCs w:val="21"/>
        </w:rPr>
        <w:t>i</w:t>
      </w:r>
      <w:r w:rsidRPr="00DD01B2">
        <w:rPr>
          <w:rFonts w:ascii="Aptos" w:hAnsi="Aptos" w:cstheme="minorHAnsi"/>
          <w:sz w:val="21"/>
          <w:szCs w:val="21"/>
        </w:rPr>
        <w:t xml:space="preserve">jenjene razvoju </w:t>
      </w:r>
      <w:r w:rsidR="008D1B48" w:rsidRPr="00DD01B2">
        <w:rPr>
          <w:rFonts w:ascii="Aptos" w:hAnsi="Aptos" w:cstheme="minorHAnsi"/>
          <w:sz w:val="21"/>
          <w:szCs w:val="21"/>
        </w:rPr>
        <w:t>sklopljenom</w:t>
      </w:r>
      <w:r w:rsidRPr="00DD01B2">
        <w:rPr>
          <w:rFonts w:ascii="Aptos" w:hAnsi="Aptos" w:cstheme="minorHAnsi"/>
          <w:sz w:val="21"/>
          <w:szCs w:val="21"/>
        </w:rPr>
        <w:t xml:space="preserve"> između gradova i općina suvlasnika u </w:t>
      </w:r>
      <w:r w:rsidR="008D1B48" w:rsidRPr="00DD01B2">
        <w:rPr>
          <w:rFonts w:ascii="Aptos" w:hAnsi="Aptos" w:cstheme="minorHAnsi"/>
          <w:sz w:val="21"/>
          <w:szCs w:val="21"/>
        </w:rPr>
        <w:t xml:space="preserve">komunalnom društvu </w:t>
      </w:r>
      <w:r w:rsidRPr="00DD01B2">
        <w:rPr>
          <w:rFonts w:ascii="Aptos" w:hAnsi="Aptos" w:cstheme="minorHAnsi"/>
          <w:sz w:val="21"/>
          <w:szCs w:val="21"/>
        </w:rPr>
        <w:t>Čistoća</w:t>
      </w:r>
      <w:r w:rsidR="008D1B48" w:rsidRPr="00DD01B2">
        <w:rPr>
          <w:rFonts w:ascii="Aptos" w:hAnsi="Aptos" w:cstheme="minorHAnsi"/>
          <w:sz w:val="21"/>
          <w:szCs w:val="21"/>
        </w:rPr>
        <w:t xml:space="preserve"> d.o.o. Rijeka</w:t>
      </w:r>
      <w:r w:rsidRPr="00DD01B2">
        <w:rPr>
          <w:rFonts w:ascii="Aptos" w:hAnsi="Aptos" w:cstheme="minorHAnsi"/>
          <w:sz w:val="21"/>
          <w:szCs w:val="21"/>
        </w:rPr>
        <w:t xml:space="preserve"> i </w:t>
      </w:r>
      <w:r w:rsidR="008D1B48" w:rsidRPr="00DD01B2">
        <w:rPr>
          <w:rFonts w:ascii="Aptos" w:hAnsi="Aptos" w:cstheme="minorHAnsi"/>
          <w:sz w:val="21"/>
          <w:szCs w:val="21"/>
        </w:rPr>
        <w:t xml:space="preserve">komunalnom društvu </w:t>
      </w:r>
      <w:r w:rsidRPr="00DD01B2">
        <w:rPr>
          <w:rFonts w:ascii="Aptos" w:hAnsi="Aptos" w:cstheme="minorHAnsi"/>
          <w:sz w:val="21"/>
          <w:szCs w:val="21"/>
        </w:rPr>
        <w:t>Autotrolej</w:t>
      </w:r>
      <w:r w:rsidR="008D1B48" w:rsidRPr="00DD01B2">
        <w:rPr>
          <w:rFonts w:ascii="Aptos" w:hAnsi="Aptos" w:cstheme="minorHAnsi"/>
          <w:sz w:val="21"/>
          <w:szCs w:val="21"/>
        </w:rPr>
        <w:t xml:space="preserve"> d.o.o.</w:t>
      </w:r>
      <w:r w:rsidRPr="00DD01B2">
        <w:rPr>
          <w:rFonts w:ascii="Aptos" w:hAnsi="Aptos" w:cstheme="minorHAnsi"/>
          <w:sz w:val="21"/>
          <w:szCs w:val="21"/>
        </w:rPr>
        <w:t xml:space="preserve"> Rijeka. </w:t>
      </w:r>
    </w:p>
    <w:p w14:paraId="7F3F392F" w14:textId="48680B0E" w:rsidR="005E6A9D" w:rsidRPr="00DD01B2" w:rsidRDefault="00B234DD" w:rsidP="00FB7C5D">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Temeljem navedenog sporazuma prihodi iz cijene </w:t>
      </w:r>
      <w:r w:rsidR="00752C7D" w:rsidRPr="00DD01B2">
        <w:rPr>
          <w:rFonts w:ascii="Aptos" w:hAnsi="Aptos" w:cstheme="minorHAnsi"/>
          <w:sz w:val="21"/>
          <w:szCs w:val="21"/>
        </w:rPr>
        <w:t>za razvoj</w:t>
      </w:r>
      <w:r w:rsidRPr="00DD01B2">
        <w:rPr>
          <w:rFonts w:ascii="Aptos" w:hAnsi="Aptos" w:cstheme="minorHAnsi"/>
          <w:sz w:val="21"/>
          <w:szCs w:val="21"/>
        </w:rPr>
        <w:t xml:space="preserve"> koji nisu utrošeni </w:t>
      </w:r>
      <w:r w:rsidR="00E57F60" w:rsidRPr="00DD01B2">
        <w:rPr>
          <w:rFonts w:ascii="Aptos" w:hAnsi="Aptos" w:cstheme="minorHAnsi"/>
          <w:sz w:val="21"/>
          <w:szCs w:val="21"/>
        </w:rPr>
        <w:t>do kraja proračunske godine evidentira</w:t>
      </w:r>
      <w:r w:rsidR="00A43A90" w:rsidRPr="00DD01B2">
        <w:rPr>
          <w:rFonts w:ascii="Aptos" w:hAnsi="Aptos" w:cstheme="minorHAnsi"/>
          <w:sz w:val="21"/>
          <w:szCs w:val="21"/>
        </w:rPr>
        <w:t>ni</w:t>
      </w:r>
      <w:r w:rsidR="00E57F60" w:rsidRPr="00DD01B2">
        <w:rPr>
          <w:rFonts w:ascii="Aptos" w:hAnsi="Aptos" w:cstheme="minorHAnsi"/>
          <w:sz w:val="21"/>
          <w:szCs w:val="21"/>
        </w:rPr>
        <w:t xml:space="preserve"> </w:t>
      </w:r>
      <w:r w:rsidR="00A43A90" w:rsidRPr="00DD01B2">
        <w:rPr>
          <w:rFonts w:ascii="Aptos" w:hAnsi="Aptos" w:cstheme="minorHAnsi"/>
          <w:sz w:val="21"/>
          <w:szCs w:val="21"/>
        </w:rPr>
        <w:t>su</w:t>
      </w:r>
      <w:r w:rsidR="00E57F60" w:rsidRPr="00DD01B2">
        <w:rPr>
          <w:rFonts w:ascii="Aptos" w:hAnsi="Aptos" w:cstheme="minorHAnsi"/>
          <w:sz w:val="21"/>
          <w:szCs w:val="21"/>
        </w:rPr>
        <w:t xml:space="preserve"> kao dani zajam komunalnom društvu</w:t>
      </w:r>
      <w:r w:rsidR="00AA0FEC" w:rsidRPr="00DD01B2">
        <w:rPr>
          <w:rFonts w:ascii="Aptos" w:hAnsi="Aptos" w:cstheme="minorHAnsi"/>
          <w:sz w:val="21"/>
          <w:szCs w:val="21"/>
        </w:rPr>
        <w:t xml:space="preserve">, a obuhvaćaju dane zajmove iz cijene razvoja KD Čistoća d.o.o. Rijeka u iznosu od </w:t>
      </w:r>
      <w:r w:rsidR="00FB7C5D">
        <w:rPr>
          <w:rFonts w:ascii="Aptos" w:hAnsi="Aptos" w:cstheme="minorHAnsi"/>
          <w:sz w:val="21"/>
          <w:szCs w:val="21"/>
        </w:rPr>
        <w:t>52.048,60</w:t>
      </w:r>
      <w:r w:rsidR="00AA0FEC" w:rsidRPr="00DD01B2">
        <w:rPr>
          <w:rFonts w:ascii="Aptos" w:hAnsi="Aptos" w:cstheme="minorHAnsi"/>
          <w:sz w:val="21"/>
          <w:szCs w:val="21"/>
        </w:rPr>
        <w:t xml:space="preserve"> € i dane zajmove iz cijene razvoja KD Autotrolej d.o.o. Rijeka u iznosu od </w:t>
      </w:r>
      <w:r w:rsidR="00FB7C5D">
        <w:rPr>
          <w:rFonts w:ascii="Aptos" w:hAnsi="Aptos" w:cstheme="minorHAnsi"/>
          <w:sz w:val="21"/>
          <w:szCs w:val="21"/>
        </w:rPr>
        <w:t>37.509,92</w:t>
      </w:r>
      <w:r w:rsidR="00AA0FEC" w:rsidRPr="00DD01B2">
        <w:rPr>
          <w:rFonts w:ascii="Aptos" w:hAnsi="Aptos" w:cstheme="minorHAnsi"/>
          <w:sz w:val="21"/>
          <w:szCs w:val="21"/>
        </w:rPr>
        <w:t xml:space="preserve"> €</w:t>
      </w:r>
      <w:r w:rsidR="00FB7C5D">
        <w:rPr>
          <w:rFonts w:ascii="Aptos" w:hAnsi="Aptos" w:cstheme="minorHAnsi"/>
          <w:sz w:val="21"/>
          <w:szCs w:val="21"/>
        </w:rPr>
        <w:t xml:space="preserve">, a ista su </w:t>
      </w:r>
      <w:r w:rsidR="008A5F1C" w:rsidRPr="00DD01B2">
        <w:rPr>
          <w:rFonts w:ascii="Aptos" w:hAnsi="Aptos" w:cstheme="minorHAnsi"/>
          <w:sz w:val="21"/>
          <w:szCs w:val="21"/>
        </w:rPr>
        <w:t xml:space="preserve">na kraju ovog obračunskog razdoblja veća za </w:t>
      </w:r>
      <w:r w:rsidR="00FB7C5D">
        <w:rPr>
          <w:rFonts w:ascii="Aptos" w:hAnsi="Aptos" w:cstheme="minorHAnsi"/>
          <w:sz w:val="21"/>
          <w:szCs w:val="21"/>
        </w:rPr>
        <w:t>27,5</w:t>
      </w:r>
      <w:r w:rsidR="008A5F1C" w:rsidRPr="00DD01B2">
        <w:rPr>
          <w:rFonts w:ascii="Aptos" w:hAnsi="Aptos" w:cstheme="minorHAnsi"/>
          <w:sz w:val="21"/>
          <w:szCs w:val="21"/>
        </w:rPr>
        <w:t xml:space="preserve">% </w:t>
      </w:r>
      <w:r w:rsidR="00AA0FEC" w:rsidRPr="00DD01B2">
        <w:rPr>
          <w:rFonts w:ascii="Aptos" w:hAnsi="Aptos" w:cstheme="minorHAnsi"/>
          <w:sz w:val="21"/>
          <w:szCs w:val="21"/>
        </w:rPr>
        <w:t xml:space="preserve"> </w:t>
      </w:r>
      <w:r w:rsidR="0079472A" w:rsidRPr="00DD01B2">
        <w:rPr>
          <w:rFonts w:ascii="Aptos" w:hAnsi="Aptos" w:cstheme="minorHAnsi"/>
          <w:sz w:val="21"/>
          <w:szCs w:val="21"/>
        </w:rPr>
        <w:t>u</w:t>
      </w:r>
      <w:r w:rsidR="002D050E" w:rsidRPr="00DD01B2">
        <w:rPr>
          <w:rFonts w:ascii="Aptos" w:hAnsi="Aptos" w:cstheme="minorHAnsi"/>
          <w:sz w:val="21"/>
          <w:szCs w:val="21"/>
        </w:rPr>
        <w:t xml:space="preserve"> odnosu </w:t>
      </w:r>
      <w:r w:rsidR="00932A32" w:rsidRPr="00DD01B2">
        <w:rPr>
          <w:rFonts w:ascii="Aptos" w:hAnsi="Aptos" w:cstheme="minorHAnsi"/>
          <w:sz w:val="21"/>
          <w:szCs w:val="21"/>
        </w:rPr>
        <w:t xml:space="preserve">na </w:t>
      </w:r>
      <w:r w:rsidR="002D050E" w:rsidRPr="00DD01B2">
        <w:rPr>
          <w:rFonts w:ascii="Aptos" w:hAnsi="Aptos" w:cstheme="minorHAnsi"/>
          <w:sz w:val="21"/>
          <w:szCs w:val="21"/>
        </w:rPr>
        <w:t>20</w:t>
      </w:r>
      <w:r w:rsidR="00A32DA3" w:rsidRPr="00DD01B2">
        <w:rPr>
          <w:rFonts w:ascii="Aptos" w:hAnsi="Aptos" w:cstheme="minorHAnsi"/>
          <w:sz w:val="21"/>
          <w:szCs w:val="21"/>
        </w:rPr>
        <w:t>2</w:t>
      </w:r>
      <w:r w:rsidR="00FB7C5D">
        <w:rPr>
          <w:rFonts w:ascii="Aptos" w:hAnsi="Aptos" w:cstheme="minorHAnsi"/>
          <w:sz w:val="21"/>
          <w:szCs w:val="21"/>
        </w:rPr>
        <w:t>4</w:t>
      </w:r>
      <w:r w:rsidR="002D050E" w:rsidRPr="00DD01B2">
        <w:rPr>
          <w:rFonts w:ascii="Aptos" w:hAnsi="Aptos" w:cstheme="minorHAnsi"/>
          <w:sz w:val="21"/>
          <w:szCs w:val="21"/>
        </w:rPr>
        <w:t>. godin</w:t>
      </w:r>
      <w:r w:rsidR="00932A32" w:rsidRPr="00DD01B2">
        <w:rPr>
          <w:rFonts w:ascii="Aptos" w:hAnsi="Aptos" w:cstheme="minorHAnsi"/>
          <w:sz w:val="21"/>
          <w:szCs w:val="21"/>
        </w:rPr>
        <w:t>u</w:t>
      </w:r>
      <w:r w:rsidR="008A5F1C" w:rsidRPr="00DD01B2">
        <w:rPr>
          <w:rFonts w:ascii="Aptos" w:hAnsi="Aptos" w:cstheme="minorHAnsi"/>
          <w:sz w:val="21"/>
          <w:szCs w:val="21"/>
        </w:rPr>
        <w:t>.</w:t>
      </w:r>
    </w:p>
    <w:p w14:paraId="0D4A580B" w14:textId="50CF7AEA" w:rsidR="00D7363A" w:rsidRPr="00DD01B2" w:rsidRDefault="00B3766C" w:rsidP="00932A32">
      <w:pPr>
        <w:spacing w:before="60" w:after="60"/>
        <w:ind w:left="-426" w:right="-380"/>
        <w:jc w:val="both"/>
        <w:rPr>
          <w:rFonts w:ascii="Aptos" w:hAnsi="Aptos" w:cstheme="minorHAnsi"/>
          <w:b/>
          <w:sz w:val="21"/>
          <w:szCs w:val="21"/>
        </w:rPr>
      </w:pPr>
      <w:r w:rsidRPr="00DD01B2">
        <w:rPr>
          <w:rFonts w:ascii="Aptos" w:hAnsi="Aptos" w:cstheme="minorHAnsi"/>
          <w:b/>
          <w:sz w:val="21"/>
          <w:szCs w:val="21"/>
        </w:rPr>
        <w:t>ŠIFRA 15</w:t>
      </w:r>
      <w:r w:rsidR="008D1B48" w:rsidRPr="00DD01B2">
        <w:rPr>
          <w:rFonts w:ascii="Aptos" w:hAnsi="Aptos" w:cstheme="minorHAnsi"/>
          <w:b/>
          <w:sz w:val="21"/>
          <w:szCs w:val="21"/>
        </w:rPr>
        <w:t xml:space="preserve"> - Dionice i udjeli u glavnici</w:t>
      </w:r>
    </w:p>
    <w:p w14:paraId="5F3B96C9" w14:textId="55FE3990" w:rsidR="00245B3E" w:rsidRPr="00DD01B2" w:rsidRDefault="00932A32" w:rsidP="00245B3E">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Vrijednost</w:t>
      </w:r>
      <w:r w:rsidR="00D7363A" w:rsidRPr="00DD01B2">
        <w:rPr>
          <w:rFonts w:ascii="Aptos" w:hAnsi="Aptos" w:cstheme="minorHAnsi"/>
          <w:sz w:val="21"/>
          <w:szCs w:val="21"/>
        </w:rPr>
        <w:t xml:space="preserve"> udjel</w:t>
      </w:r>
      <w:r w:rsidRPr="00DD01B2">
        <w:rPr>
          <w:rFonts w:ascii="Aptos" w:hAnsi="Aptos" w:cstheme="minorHAnsi"/>
          <w:sz w:val="21"/>
          <w:szCs w:val="21"/>
        </w:rPr>
        <w:t>a</w:t>
      </w:r>
      <w:r w:rsidR="00D7363A" w:rsidRPr="00DD01B2">
        <w:rPr>
          <w:rFonts w:ascii="Aptos" w:hAnsi="Aptos" w:cstheme="minorHAnsi"/>
          <w:sz w:val="21"/>
          <w:szCs w:val="21"/>
        </w:rPr>
        <w:t xml:space="preserve"> Grada Bakra u temeljnom kapitalu trgovačkih društava </w:t>
      </w:r>
      <w:r w:rsidR="00AF60A4" w:rsidRPr="00DD01B2">
        <w:rPr>
          <w:rFonts w:ascii="Aptos" w:hAnsi="Aptos" w:cstheme="minorHAnsi"/>
          <w:sz w:val="21"/>
          <w:szCs w:val="21"/>
        </w:rPr>
        <w:t xml:space="preserve">u kojima je Grad suvlasnik odnosno vlasnik </w:t>
      </w:r>
      <w:r w:rsidR="007D2E0C" w:rsidRPr="00DD01B2">
        <w:rPr>
          <w:rFonts w:ascii="Aptos" w:hAnsi="Aptos" w:cstheme="minorHAnsi"/>
          <w:sz w:val="21"/>
          <w:szCs w:val="21"/>
        </w:rPr>
        <w:t>na dan 31.12.202</w:t>
      </w:r>
      <w:r w:rsidR="00FB7C5D">
        <w:rPr>
          <w:rFonts w:ascii="Aptos" w:hAnsi="Aptos" w:cstheme="minorHAnsi"/>
          <w:sz w:val="21"/>
          <w:szCs w:val="21"/>
        </w:rPr>
        <w:t>5</w:t>
      </w:r>
      <w:r w:rsidR="007D2E0C" w:rsidRPr="00DD01B2">
        <w:rPr>
          <w:rFonts w:ascii="Aptos" w:hAnsi="Aptos" w:cstheme="minorHAnsi"/>
          <w:sz w:val="21"/>
          <w:szCs w:val="21"/>
        </w:rPr>
        <w:t>.</w:t>
      </w:r>
      <w:r w:rsidRPr="00DD01B2">
        <w:rPr>
          <w:rFonts w:ascii="Aptos" w:hAnsi="Aptos" w:cstheme="minorHAnsi"/>
          <w:sz w:val="21"/>
          <w:szCs w:val="21"/>
        </w:rPr>
        <w:t xml:space="preserve"> </w:t>
      </w:r>
      <w:r w:rsidR="007D2E0C" w:rsidRPr="00DD01B2">
        <w:rPr>
          <w:rFonts w:ascii="Aptos" w:hAnsi="Aptos" w:cstheme="minorHAnsi"/>
          <w:sz w:val="21"/>
          <w:szCs w:val="21"/>
        </w:rPr>
        <w:t>g</w:t>
      </w:r>
      <w:r w:rsidRPr="00DD01B2">
        <w:rPr>
          <w:rFonts w:ascii="Aptos" w:hAnsi="Aptos" w:cstheme="minorHAnsi"/>
          <w:sz w:val="21"/>
          <w:szCs w:val="21"/>
        </w:rPr>
        <w:t>odine</w:t>
      </w:r>
      <w:r w:rsidR="007D2E0C" w:rsidRPr="00DD01B2">
        <w:rPr>
          <w:rFonts w:ascii="Aptos" w:hAnsi="Aptos" w:cstheme="minorHAnsi"/>
          <w:sz w:val="21"/>
          <w:szCs w:val="21"/>
        </w:rPr>
        <w:t xml:space="preserve"> </w:t>
      </w:r>
      <w:r w:rsidR="005F0156" w:rsidRPr="00DD01B2">
        <w:rPr>
          <w:rFonts w:ascii="Aptos" w:hAnsi="Aptos" w:cstheme="minorHAnsi"/>
          <w:sz w:val="21"/>
          <w:szCs w:val="21"/>
        </w:rPr>
        <w:t xml:space="preserve">u odnosu na prošlu godinu </w:t>
      </w:r>
      <w:r w:rsidR="00FB7C5D">
        <w:rPr>
          <w:rFonts w:ascii="Aptos" w:hAnsi="Aptos" w:cstheme="minorHAnsi"/>
          <w:sz w:val="21"/>
          <w:szCs w:val="21"/>
        </w:rPr>
        <w:t>nije se mijenjala</w:t>
      </w:r>
      <w:r w:rsidR="005F0156" w:rsidRPr="00DD01B2">
        <w:rPr>
          <w:rFonts w:ascii="Aptos" w:hAnsi="Aptos" w:cstheme="minorHAnsi"/>
          <w:sz w:val="21"/>
          <w:szCs w:val="21"/>
        </w:rPr>
        <w:t>.</w:t>
      </w:r>
    </w:p>
    <w:p w14:paraId="3416F34C" w14:textId="67771AC1" w:rsidR="005C3EC0" w:rsidRPr="00DD01B2" w:rsidRDefault="00B3766C" w:rsidP="005C3EC0">
      <w:pPr>
        <w:spacing w:before="60" w:after="60"/>
        <w:ind w:left="-426" w:right="-380"/>
        <w:jc w:val="both"/>
        <w:rPr>
          <w:rFonts w:ascii="Aptos" w:hAnsi="Aptos" w:cstheme="minorHAnsi"/>
          <w:b/>
          <w:sz w:val="21"/>
          <w:szCs w:val="21"/>
        </w:rPr>
      </w:pPr>
      <w:r w:rsidRPr="00DD01B2">
        <w:rPr>
          <w:rFonts w:ascii="Aptos" w:hAnsi="Aptos" w:cstheme="minorHAnsi"/>
          <w:b/>
          <w:sz w:val="21"/>
          <w:szCs w:val="21"/>
        </w:rPr>
        <w:t>ŠIFRA 16</w:t>
      </w:r>
      <w:r w:rsidR="002170B0" w:rsidRPr="00DD01B2">
        <w:rPr>
          <w:rFonts w:ascii="Aptos" w:hAnsi="Aptos" w:cstheme="minorHAnsi"/>
          <w:b/>
          <w:sz w:val="21"/>
          <w:szCs w:val="21"/>
        </w:rPr>
        <w:t xml:space="preserve"> </w:t>
      </w:r>
      <w:r w:rsidR="00C23DDE" w:rsidRPr="00DD01B2">
        <w:rPr>
          <w:rFonts w:ascii="Aptos" w:hAnsi="Aptos" w:cstheme="minorHAnsi"/>
          <w:b/>
          <w:sz w:val="21"/>
          <w:szCs w:val="21"/>
        </w:rPr>
        <w:t xml:space="preserve"> - Potraživanja za prihode poslovanja</w:t>
      </w:r>
    </w:p>
    <w:p w14:paraId="60E4BB0A" w14:textId="34E19C99" w:rsidR="00C640F1" w:rsidRPr="00A9029A" w:rsidRDefault="00FB7C5D" w:rsidP="00217C3C">
      <w:pPr>
        <w:spacing w:before="60" w:after="60"/>
        <w:ind w:left="-425" w:right="-380" w:firstLine="284"/>
        <w:jc w:val="both"/>
        <w:rPr>
          <w:rFonts w:ascii="Aptos" w:hAnsi="Aptos" w:cstheme="minorHAnsi"/>
          <w:sz w:val="21"/>
          <w:szCs w:val="21"/>
        </w:rPr>
      </w:pPr>
      <w:r>
        <w:rPr>
          <w:rFonts w:ascii="Aptos" w:hAnsi="Aptos" w:cstheme="minorHAnsi"/>
          <w:sz w:val="21"/>
          <w:szCs w:val="21"/>
        </w:rPr>
        <w:t>P</w:t>
      </w:r>
      <w:r w:rsidR="003573A7" w:rsidRPr="00DD01B2">
        <w:rPr>
          <w:rFonts w:ascii="Aptos" w:hAnsi="Aptos" w:cstheme="minorHAnsi"/>
          <w:sz w:val="21"/>
          <w:szCs w:val="21"/>
        </w:rPr>
        <w:t xml:space="preserve">otraživanja </w:t>
      </w:r>
      <w:r w:rsidR="0045691B" w:rsidRPr="00DD01B2">
        <w:rPr>
          <w:rFonts w:ascii="Aptos" w:hAnsi="Aptos" w:cstheme="minorHAnsi"/>
          <w:sz w:val="21"/>
          <w:szCs w:val="21"/>
        </w:rPr>
        <w:t>za prihode poslovanja</w:t>
      </w:r>
      <w:r w:rsidR="00401951" w:rsidRPr="00DD01B2">
        <w:rPr>
          <w:rFonts w:ascii="Aptos" w:hAnsi="Aptos" w:cstheme="minorHAnsi"/>
          <w:sz w:val="21"/>
          <w:szCs w:val="21"/>
        </w:rPr>
        <w:t xml:space="preserve"> na dan 31. prosinca 20</w:t>
      </w:r>
      <w:r w:rsidR="007D2E0C" w:rsidRPr="00DD01B2">
        <w:rPr>
          <w:rFonts w:ascii="Aptos" w:hAnsi="Aptos" w:cstheme="minorHAnsi"/>
          <w:sz w:val="21"/>
          <w:szCs w:val="21"/>
        </w:rPr>
        <w:t>2</w:t>
      </w:r>
      <w:r>
        <w:rPr>
          <w:rFonts w:ascii="Aptos" w:hAnsi="Aptos" w:cstheme="minorHAnsi"/>
          <w:sz w:val="21"/>
          <w:szCs w:val="21"/>
        </w:rPr>
        <w:t>5</w:t>
      </w:r>
      <w:r w:rsidR="00401951" w:rsidRPr="00DD01B2">
        <w:rPr>
          <w:rFonts w:ascii="Aptos" w:hAnsi="Aptos" w:cstheme="minorHAnsi"/>
          <w:sz w:val="21"/>
          <w:szCs w:val="21"/>
        </w:rPr>
        <w:t>. godine</w:t>
      </w:r>
      <w:r w:rsidR="0045691B" w:rsidRPr="00DD01B2">
        <w:rPr>
          <w:rFonts w:ascii="Aptos" w:hAnsi="Aptos" w:cstheme="minorHAnsi"/>
          <w:sz w:val="21"/>
          <w:szCs w:val="21"/>
        </w:rPr>
        <w:t xml:space="preserve">  </w:t>
      </w:r>
      <w:r w:rsidR="00262245" w:rsidRPr="00DD01B2">
        <w:rPr>
          <w:rFonts w:ascii="Aptos" w:hAnsi="Aptos" w:cstheme="minorHAnsi"/>
          <w:sz w:val="21"/>
          <w:szCs w:val="21"/>
        </w:rPr>
        <w:t>u odnosu na 202</w:t>
      </w:r>
      <w:r w:rsidR="00A9029A">
        <w:rPr>
          <w:rFonts w:ascii="Aptos" w:hAnsi="Aptos" w:cstheme="minorHAnsi"/>
          <w:sz w:val="21"/>
          <w:szCs w:val="21"/>
        </w:rPr>
        <w:t>4</w:t>
      </w:r>
      <w:r w:rsidR="00262245" w:rsidRPr="00DD01B2">
        <w:rPr>
          <w:rFonts w:ascii="Aptos" w:hAnsi="Aptos" w:cstheme="minorHAnsi"/>
          <w:sz w:val="21"/>
          <w:szCs w:val="21"/>
        </w:rPr>
        <w:t xml:space="preserve">. godinu </w:t>
      </w:r>
      <w:r w:rsidR="00A9029A">
        <w:rPr>
          <w:rFonts w:ascii="Aptos" w:hAnsi="Aptos" w:cstheme="minorHAnsi"/>
          <w:sz w:val="21"/>
          <w:szCs w:val="21"/>
        </w:rPr>
        <w:t>manja su za 5,9%</w:t>
      </w:r>
      <w:r w:rsidR="005F0156" w:rsidRPr="00DD01B2">
        <w:rPr>
          <w:rFonts w:ascii="Aptos" w:hAnsi="Aptos" w:cstheme="minorHAnsi"/>
          <w:sz w:val="21"/>
          <w:szCs w:val="21"/>
        </w:rPr>
        <w:t>,</w:t>
      </w:r>
      <w:r w:rsidR="00262245" w:rsidRPr="00DD01B2">
        <w:rPr>
          <w:rFonts w:ascii="Aptos" w:hAnsi="Aptos" w:cstheme="minorHAnsi"/>
          <w:sz w:val="21"/>
          <w:szCs w:val="21"/>
        </w:rPr>
        <w:t xml:space="preserve"> </w:t>
      </w:r>
      <w:r w:rsidR="00A9029A">
        <w:rPr>
          <w:rFonts w:ascii="Aptos" w:hAnsi="Aptos" w:cstheme="minorHAnsi"/>
          <w:sz w:val="21"/>
          <w:szCs w:val="21"/>
        </w:rPr>
        <w:t xml:space="preserve">a veća su </w:t>
      </w:r>
      <w:r w:rsidR="00831E97">
        <w:rPr>
          <w:rFonts w:ascii="Aptos" w:hAnsi="Aptos" w:cstheme="minorHAnsi"/>
          <w:sz w:val="21"/>
          <w:szCs w:val="21"/>
        </w:rPr>
        <w:t xml:space="preserve">odstupanja </w:t>
      </w:r>
      <w:r w:rsidR="00A9029A">
        <w:rPr>
          <w:rFonts w:ascii="Aptos" w:hAnsi="Aptos" w:cstheme="minorHAnsi"/>
          <w:sz w:val="21"/>
          <w:szCs w:val="21"/>
        </w:rPr>
        <w:t xml:space="preserve">evidentna kod </w:t>
      </w:r>
      <w:r w:rsidR="005C3EC0" w:rsidRPr="00DD01B2">
        <w:rPr>
          <w:rFonts w:ascii="Aptos" w:hAnsi="Aptos" w:cstheme="minorHAnsi"/>
          <w:sz w:val="21"/>
          <w:szCs w:val="21"/>
        </w:rPr>
        <w:t xml:space="preserve">potraživanja od </w:t>
      </w:r>
      <w:r w:rsidR="005F0156" w:rsidRPr="00DD01B2">
        <w:rPr>
          <w:rFonts w:ascii="Aptos" w:hAnsi="Aptos" w:cstheme="minorHAnsi"/>
          <w:sz w:val="21"/>
          <w:szCs w:val="21"/>
        </w:rPr>
        <w:t>poreza na promet nekretnina, čij</w:t>
      </w:r>
      <w:r w:rsidR="00C640F1" w:rsidRPr="00DD01B2">
        <w:rPr>
          <w:rFonts w:ascii="Aptos" w:hAnsi="Aptos" w:cstheme="minorHAnsi"/>
          <w:sz w:val="21"/>
          <w:szCs w:val="21"/>
        </w:rPr>
        <w:t>e je utvrđivanje i naplata u nadležnosti Porezne uprave</w:t>
      </w:r>
      <w:r w:rsidR="00831E97">
        <w:rPr>
          <w:rFonts w:ascii="Aptos" w:hAnsi="Aptos" w:cstheme="minorHAnsi"/>
          <w:sz w:val="21"/>
          <w:szCs w:val="21"/>
        </w:rPr>
        <w:t xml:space="preserve"> te </w:t>
      </w:r>
      <w:r w:rsidR="00217C3C">
        <w:rPr>
          <w:rFonts w:ascii="Aptos" w:hAnsi="Aptos" w:cstheme="minorHAnsi"/>
          <w:sz w:val="21"/>
          <w:szCs w:val="21"/>
        </w:rPr>
        <w:t xml:space="preserve">kod potraživanja od komunalnog doprinosa koja su namirena sukladno </w:t>
      </w:r>
      <w:r w:rsidR="00C640F1" w:rsidRPr="00DD01B2">
        <w:rPr>
          <w:rFonts w:ascii="Aptos" w:hAnsi="Aptos" w:cstheme="minorHAnsi"/>
          <w:sz w:val="21"/>
          <w:szCs w:val="21"/>
        </w:rPr>
        <w:t>upravn</w:t>
      </w:r>
      <w:r w:rsidR="00217C3C">
        <w:rPr>
          <w:rFonts w:ascii="Aptos" w:hAnsi="Aptos" w:cstheme="minorHAnsi"/>
          <w:sz w:val="21"/>
          <w:szCs w:val="21"/>
        </w:rPr>
        <w:t>om</w:t>
      </w:r>
      <w:r w:rsidR="00C640F1" w:rsidRPr="00DD01B2">
        <w:rPr>
          <w:rFonts w:ascii="Aptos" w:hAnsi="Aptos" w:cstheme="minorHAnsi"/>
          <w:sz w:val="21"/>
          <w:szCs w:val="21"/>
        </w:rPr>
        <w:t xml:space="preserve"> ugovor</w:t>
      </w:r>
      <w:r w:rsidR="00217C3C">
        <w:rPr>
          <w:rFonts w:ascii="Aptos" w:hAnsi="Aptos" w:cstheme="minorHAnsi"/>
          <w:sz w:val="21"/>
          <w:szCs w:val="21"/>
        </w:rPr>
        <w:t>u</w:t>
      </w:r>
      <w:r w:rsidR="00C640F1" w:rsidRPr="00DD01B2">
        <w:rPr>
          <w:rFonts w:ascii="Aptos" w:hAnsi="Aptos" w:cstheme="minorHAnsi"/>
          <w:sz w:val="21"/>
          <w:szCs w:val="21"/>
        </w:rPr>
        <w:t xml:space="preserve"> o </w:t>
      </w:r>
      <w:r w:rsidR="00217C3C">
        <w:rPr>
          <w:rFonts w:ascii="Aptos" w:hAnsi="Aptos" w:cstheme="minorHAnsi"/>
          <w:sz w:val="21"/>
          <w:szCs w:val="21"/>
        </w:rPr>
        <w:t>obročnom plaćanju</w:t>
      </w:r>
      <w:r w:rsidR="00C640F1" w:rsidRPr="00DD01B2">
        <w:rPr>
          <w:rFonts w:ascii="Aptos" w:hAnsi="Aptos" w:cstheme="minorHAnsi"/>
          <w:sz w:val="21"/>
          <w:szCs w:val="21"/>
        </w:rPr>
        <w:t xml:space="preserve"> komunalnog doprinosa </w:t>
      </w:r>
      <w:r w:rsidR="00C640F1" w:rsidRPr="00DD01B2">
        <w:rPr>
          <w:rFonts w:ascii="Aptos" w:hAnsi="Aptos" w:cs="Arial"/>
          <w:sz w:val="21"/>
          <w:szCs w:val="21"/>
        </w:rPr>
        <w:t>utvrđenog za dozvoljenu rekonstrukciju građevine gospodarske namjene odnosno dogradnju postojeće građevine i gradnju složene građevine gospodarske namjene – logističkog distributivnog centra u Industrijskoj zoni.</w:t>
      </w:r>
    </w:p>
    <w:p w14:paraId="7254B750" w14:textId="64B18C65" w:rsidR="00AE1891" w:rsidRPr="00DD01B2" w:rsidRDefault="00AF077A" w:rsidP="00BE135E">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Sukladno Pravilnik</w:t>
      </w:r>
      <w:r w:rsidR="00262245" w:rsidRPr="00DD01B2">
        <w:rPr>
          <w:rFonts w:ascii="Aptos" w:hAnsi="Aptos" w:cstheme="minorHAnsi"/>
          <w:sz w:val="21"/>
          <w:szCs w:val="21"/>
        </w:rPr>
        <w:t>u</w:t>
      </w:r>
      <w:r w:rsidRPr="00DD01B2">
        <w:rPr>
          <w:rFonts w:ascii="Aptos" w:hAnsi="Aptos" w:cstheme="minorHAnsi"/>
          <w:sz w:val="21"/>
          <w:szCs w:val="21"/>
        </w:rPr>
        <w:t xml:space="preserve"> o proračunskom računovodstvu i računskom planu </w:t>
      </w:r>
      <w:r w:rsidR="00262245" w:rsidRPr="00DD01B2">
        <w:rPr>
          <w:rFonts w:ascii="Aptos" w:hAnsi="Aptos" w:cstheme="minorHAnsi"/>
          <w:sz w:val="21"/>
          <w:szCs w:val="21"/>
        </w:rPr>
        <w:t>izvršen</w:t>
      </w:r>
      <w:r w:rsidRPr="00DD01B2">
        <w:rPr>
          <w:rFonts w:ascii="Aptos" w:hAnsi="Aptos" w:cstheme="minorHAnsi"/>
          <w:sz w:val="21"/>
          <w:szCs w:val="21"/>
        </w:rPr>
        <w:t xml:space="preserve"> je ispravak vrijednosti potraživan</w:t>
      </w:r>
      <w:r w:rsidR="00AF5722" w:rsidRPr="00DD01B2">
        <w:rPr>
          <w:rFonts w:ascii="Aptos" w:hAnsi="Aptos" w:cstheme="minorHAnsi"/>
          <w:sz w:val="21"/>
          <w:szCs w:val="21"/>
        </w:rPr>
        <w:t>j</w:t>
      </w:r>
      <w:r w:rsidRPr="00DD01B2">
        <w:rPr>
          <w:rFonts w:ascii="Aptos" w:hAnsi="Aptos" w:cstheme="minorHAnsi"/>
          <w:sz w:val="21"/>
          <w:szCs w:val="21"/>
        </w:rPr>
        <w:t xml:space="preserve">a s obzirom na </w:t>
      </w:r>
      <w:r w:rsidR="00BE135E">
        <w:rPr>
          <w:rFonts w:ascii="Aptos" w:hAnsi="Aptos" w:cstheme="minorHAnsi"/>
          <w:sz w:val="21"/>
          <w:szCs w:val="21"/>
        </w:rPr>
        <w:t>k</w:t>
      </w:r>
      <w:r w:rsidR="00BE135E" w:rsidRPr="00BE135E">
        <w:rPr>
          <w:rFonts w:ascii="Aptos" w:hAnsi="Aptos" w:cstheme="minorHAnsi"/>
          <w:sz w:val="21"/>
          <w:szCs w:val="21"/>
        </w:rPr>
        <w:t>a</w:t>
      </w:r>
      <w:r w:rsidR="00BE135E" w:rsidRPr="00BE135E">
        <w:rPr>
          <w:rFonts w:ascii="Aptos" w:hAnsi="Aptos" w:cstheme="minorHAnsi" w:hint="eastAsia"/>
          <w:sz w:val="21"/>
          <w:szCs w:val="21"/>
        </w:rPr>
        <w:t>š</w:t>
      </w:r>
      <w:r w:rsidR="00BE135E" w:rsidRPr="00BE135E">
        <w:rPr>
          <w:rFonts w:ascii="Aptos" w:hAnsi="Aptos" w:cstheme="minorHAnsi"/>
          <w:sz w:val="21"/>
          <w:szCs w:val="21"/>
        </w:rPr>
        <w:t>njenje u naplati vi</w:t>
      </w:r>
      <w:r w:rsidR="00BE135E" w:rsidRPr="00BE135E">
        <w:rPr>
          <w:rFonts w:ascii="Aptos" w:hAnsi="Aptos" w:cstheme="minorHAnsi" w:hint="eastAsia"/>
          <w:sz w:val="21"/>
          <w:szCs w:val="21"/>
        </w:rPr>
        <w:t>š</w:t>
      </w:r>
      <w:r w:rsidR="00BE135E" w:rsidRPr="00BE135E">
        <w:rPr>
          <w:rFonts w:ascii="Aptos" w:hAnsi="Aptos" w:cstheme="minorHAnsi"/>
          <w:sz w:val="21"/>
          <w:szCs w:val="21"/>
        </w:rPr>
        <w:t>e od dvije godine</w:t>
      </w:r>
      <w:r w:rsidR="00BE135E">
        <w:rPr>
          <w:rFonts w:ascii="Aptos" w:hAnsi="Aptos" w:cstheme="minorHAnsi"/>
          <w:sz w:val="21"/>
          <w:szCs w:val="21"/>
        </w:rPr>
        <w:t xml:space="preserve"> i p</w:t>
      </w:r>
      <w:r w:rsidR="00BE135E" w:rsidRPr="00BE135E">
        <w:rPr>
          <w:rFonts w:ascii="Aptos" w:hAnsi="Aptos" w:cstheme="minorHAnsi"/>
          <w:sz w:val="21"/>
          <w:szCs w:val="21"/>
        </w:rPr>
        <w:t>okretanje ste</w:t>
      </w:r>
      <w:r w:rsidR="00BE135E" w:rsidRPr="00BE135E">
        <w:rPr>
          <w:rFonts w:ascii="Aptos" w:hAnsi="Aptos" w:cstheme="minorHAnsi" w:hint="eastAsia"/>
          <w:sz w:val="21"/>
          <w:szCs w:val="21"/>
        </w:rPr>
        <w:t>č</w:t>
      </w:r>
      <w:r w:rsidR="00BE135E" w:rsidRPr="00BE135E">
        <w:rPr>
          <w:rFonts w:ascii="Aptos" w:hAnsi="Aptos" w:cstheme="minorHAnsi"/>
          <w:sz w:val="21"/>
          <w:szCs w:val="21"/>
        </w:rPr>
        <w:t xml:space="preserve">ajnog i/ili likvidacijskog postupka </w:t>
      </w:r>
      <w:r w:rsidR="000C46D2" w:rsidRPr="00DD01B2">
        <w:rPr>
          <w:rFonts w:ascii="Aptos" w:hAnsi="Aptos" w:cstheme="minorHAnsi"/>
          <w:sz w:val="21"/>
          <w:szCs w:val="21"/>
        </w:rPr>
        <w:t xml:space="preserve">u </w:t>
      </w:r>
      <w:r w:rsidRPr="00DD01B2">
        <w:rPr>
          <w:rFonts w:ascii="Aptos" w:hAnsi="Aptos" w:cstheme="minorHAnsi"/>
          <w:sz w:val="21"/>
          <w:szCs w:val="21"/>
        </w:rPr>
        <w:t xml:space="preserve"> iznos</w:t>
      </w:r>
      <w:r w:rsidR="000C46D2" w:rsidRPr="00DD01B2">
        <w:rPr>
          <w:rFonts w:ascii="Aptos" w:hAnsi="Aptos" w:cstheme="minorHAnsi"/>
          <w:sz w:val="21"/>
          <w:szCs w:val="21"/>
        </w:rPr>
        <w:t>u od</w:t>
      </w:r>
      <w:r w:rsidRPr="00DD01B2">
        <w:rPr>
          <w:rFonts w:ascii="Aptos" w:hAnsi="Aptos" w:cstheme="minorHAnsi"/>
          <w:sz w:val="21"/>
          <w:szCs w:val="21"/>
        </w:rPr>
        <w:t xml:space="preserve"> </w:t>
      </w:r>
      <w:r w:rsidR="00C640F1" w:rsidRPr="00DD01B2">
        <w:rPr>
          <w:rFonts w:ascii="Aptos" w:hAnsi="Aptos" w:cstheme="minorHAnsi"/>
          <w:sz w:val="21"/>
          <w:szCs w:val="21"/>
        </w:rPr>
        <w:t>286.</w:t>
      </w:r>
      <w:r w:rsidR="00BE135E">
        <w:rPr>
          <w:rFonts w:ascii="Aptos" w:hAnsi="Aptos" w:cstheme="minorHAnsi"/>
          <w:sz w:val="21"/>
          <w:szCs w:val="21"/>
        </w:rPr>
        <w:t>243,71</w:t>
      </w:r>
      <w:r w:rsidR="00AE1891" w:rsidRPr="00DD01B2">
        <w:rPr>
          <w:rFonts w:ascii="Aptos" w:hAnsi="Aptos" w:cstheme="minorHAnsi"/>
          <w:sz w:val="21"/>
          <w:szCs w:val="21"/>
        </w:rPr>
        <w:t xml:space="preserve"> €</w:t>
      </w:r>
      <w:r w:rsidRPr="00DD01B2">
        <w:rPr>
          <w:rFonts w:ascii="Aptos" w:hAnsi="Aptos" w:cstheme="minorHAnsi"/>
          <w:sz w:val="21"/>
          <w:szCs w:val="21"/>
        </w:rPr>
        <w:t>.</w:t>
      </w:r>
    </w:p>
    <w:p w14:paraId="224DE9D8" w14:textId="6AC7A21F" w:rsidR="00A661FB" w:rsidRPr="00DD01B2" w:rsidRDefault="00B3766C" w:rsidP="00154838">
      <w:pPr>
        <w:spacing w:before="60" w:after="60"/>
        <w:ind w:left="-426" w:right="-380"/>
        <w:jc w:val="both"/>
        <w:rPr>
          <w:rFonts w:ascii="Aptos" w:hAnsi="Aptos" w:cstheme="minorHAnsi"/>
          <w:b/>
          <w:sz w:val="21"/>
          <w:szCs w:val="21"/>
        </w:rPr>
      </w:pPr>
      <w:r w:rsidRPr="00DD01B2">
        <w:rPr>
          <w:rFonts w:ascii="Aptos" w:hAnsi="Aptos" w:cstheme="minorHAnsi"/>
          <w:b/>
          <w:sz w:val="21"/>
          <w:szCs w:val="21"/>
        </w:rPr>
        <w:t>ŠIFRA 17</w:t>
      </w:r>
      <w:r w:rsidR="00A661FB" w:rsidRPr="00DD01B2">
        <w:rPr>
          <w:rFonts w:ascii="Aptos" w:hAnsi="Aptos" w:cstheme="minorHAnsi"/>
          <w:b/>
          <w:sz w:val="21"/>
          <w:szCs w:val="21"/>
        </w:rPr>
        <w:t xml:space="preserve"> - Potraživanja od prodaje nefinancijske imovine</w:t>
      </w:r>
    </w:p>
    <w:p w14:paraId="7849BC6F" w14:textId="2AF345F3" w:rsidR="00EB6118" w:rsidRPr="00DD01B2" w:rsidRDefault="00697040" w:rsidP="005F56E1">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Potraživanja od prodaje nefinancijske imovine </w:t>
      </w:r>
      <w:r w:rsidR="00672758" w:rsidRPr="00DD01B2">
        <w:rPr>
          <w:rFonts w:ascii="Aptos" w:hAnsi="Aptos" w:cstheme="minorHAnsi"/>
          <w:sz w:val="21"/>
          <w:szCs w:val="21"/>
        </w:rPr>
        <w:t>na kraju 20</w:t>
      </w:r>
      <w:r w:rsidR="00B8432C" w:rsidRPr="00DD01B2">
        <w:rPr>
          <w:rFonts w:ascii="Aptos" w:hAnsi="Aptos" w:cstheme="minorHAnsi"/>
          <w:sz w:val="21"/>
          <w:szCs w:val="21"/>
        </w:rPr>
        <w:t>2</w:t>
      </w:r>
      <w:r w:rsidR="00BE135E">
        <w:rPr>
          <w:rFonts w:ascii="Aptos" w:hAnsi="Aptos" w:cstheme="minorHAnsi"/>
          <w:sz w:val="21"/>
          <w:szCs w:val="21"/>
        </w:rPr>
        <w:t>5</w:t>
      </w:r>
      <w:r w:rsidR="00672758" w:rsidRPr="00DD01B2">
        <w:rPr>
          <w:rFonts w:ascii="Aptos" w:hAnsi="Aptos" w:cstheme="minorHAnsi"/>
          <w:sz w:val="21"/>
          <w:szCs w:val="21"/>
        </w:rPr>
        <w:t xml:space="preserve">. </w:t>
      </w:r>
      <w:r w:rsidR="00EB6118" w:rsidRPr="00DD01B2">
        <w:rPr>
          <w:rFonts w:ascii="Aptos" w:hAnsi="Aptos" w:cstheme="minorHAnsi"/>
          <w:sz w:val="21"/>
          <w:szCs w:val="21"/>
        </w:rPr>
        <w:t>g</w:t>
      </w:r>
      <w:r w:rsidR="00672758" w:rsidRPr="00DD01B2">
        <w:rPr>
          <w:rFonts w:ascii="Aptos" w:hAnsi="Aptos" w:cstheme="minorHAnsi"/>
          <w:sz w:val="21"/>
          <w:szCs w:val="21"/>
        </w:rPr>
        <w:t xml:space="preserve">odine </w:t>
      </w:r>
      <w:r w:rsidR="007B2BB6" w:rsidRPr="00DD01B2">
        <w:rPr>
          <w:rFonts w:ascii="Aptos" w:hAnsi="Aptos" w:cstheme="minorHAnsi"/>
          <w:sz w:val="21"/>
          <w:szCs w:val="21"/>
        </w:rPr>
        <w:t xml:space="preserve">iznose </w:t>
      </w:r>
      <w:r w:rsidR="00BE135E">
        <w:rPr>
          <w:rFonts w:ascii="Aptos" w:hAnsi="Aptos" w:cstheme="minorHAnsi"/>
          <w:sz w:val="21"/>
          <w:szCs w:val="21"/>
        </w:rPr>
        <w:t>19.762,97</w:t>
      </w:r>
      <w:r w:rsidR="007B2BB6" w:rsidRPr="00DD01B2">
        <w:rPr>
          <w:rFonts w:ascii="Aptos" w:hAnsi="Aptos" w:cstheme="minorHAnsi"/>
          <w:sz w:val="21"/>
          <w:szCs w:val="21"/>
        </w:rPr>
        <w:t xml:space="preserve"> €, a u odnosu na prošlu godinu manja su za </w:t>
      </w:r>
      <w:r w:rsidR="00BE135E">
        <w:rPr>
          <w:rFonts w:ascii="Aptos" w:hAnsi="Aptos" w:cstheme="minorHAnsi"/>
          <w:sz w:val="21"/>
          <w:szCs w:val="21"/>
        </w:rPr>
        <w:t>13</w:t>
      </w:r>
      <w:r w:rsidR="007B2BB6" w:rsidRPr="00DD01B2">
        <w:rPr>
          <w:rFonts w:ascii="Aptos" w:hAnsi="Aptos" w:cstheme="minorHAnsi"/>
          <w:sz w:val="21"/>
          <w:szCs w:val="21"/>
        </w:rPr>
        <w:t>%</w:t>
      </w:r>
      <w:r w:rsidR="005F56E1" w:rsidRPr="00DD01B2">
        <w:rPr>
          <w:rFonts w:ascii="Aptos" w:hAnsi="Aptos" w:cstheme="minorHAnsi"/>
          <w:sz w:val="21"/>
          <w:szCs w:val="21"/>
        </w:rPr>
        <w:t xml:space="preserve">, a </w:t>
      </w:r>
      <w:r w:rsidR="00B3766C" w:rsidRPr="00DD01B2">
        <w:rPr>
          <w:rFonts w:ascii="Aptos" w:hAnsi="Aptos" w:cstheme="minorHAnsi"/>
          <w:sz w:val="21"/>
          <w:szCs w:val="21"/>
        </w:rPr>
        <w:t xml:space="preserve">uključuju </w:t>
      </w:r>
      <w:r w:rsidRPr="00DD01B2">
        <w:rPr>
          <w:rFonts w:ascii="Aptos" w:hAnsi="Aptos" w:cstheme="minorHAnsi"/>
          <w:sz w:val="21"/>
          <w:szCs w:val="21"/>
        </w:rPr>
        <w:t xml:space="preserve">potraživanja </w:t>
      </w:r>
      <w:r w:rsidR="000C46D2" w:rsidRPr="00DD01B2">
        <w:rPr>
          <w:rFonts w:ascii="Aptos" w:hAnsi="Aptos" w:cstheme="minorHAnsi"/>
          <w:sz w:val="21"/>
          <w:szCs w:val="21"/>
        </w:rPr>
        <w:t xml:space="preserve">od </w:t>
      </w:r>
      <w:r w:rsidR="00AD647F" w:rsidRPr="00DD01B2">
        <w:rPr>
          <w:rFonts w:ascii="Aptos" w:hAnsi="Aptos" w:cstheme="minorHAnsi"/>
          <w:sz w:val="21"/>
          <w:szCs w:val="21"/>
        </w:rPr>
        <w:t xml:space="preserve">fizičkih osoba za </w:t>
      </w:r>
      <w:r w:rsidR="000C46D2" w:rsidRPr="00DD01B2">
        <w:rPr>
          <w:rFonts w:ascii="Aptos" w:hAnsi="Aptos" w:cstheme="minorHAnsi"/>
          <w:sz w:val="21"/>
          <w:szCs w:val="21"/>
        </w:rPr>
        <w:t>prodaj</w:t>
      </w:r>
      <w:r w:rsidR="00AD647F" w:rsidRPr="00DD01B2">
        <w:rPr>
          <w:rFonts w:ascii="Aptos" w:hAnsi="Aptos" w:cstheme="minorHAnsi"/>
          <w:sz w:val="21"/>
          <w:szCs w:val="21"/>
        </w:rPr>
        <w:t>u</w:t>
      </w:r>
      <w:r w:rsidR="000C46D2" w:rsidRPr="00DD01B2">
        <w:rPr>
          <w:rFonts w:ascii="Aptos" w:hAnsi="Aptos" w:cstheme="minorHAnsi"/>
          <w:sz w:val="21"/>
          <w:szCs w:val="21"/>
        </w:rPr>
        <w:t xml:space="preserve"> stanova</w:t>
      </w:r>
      <w:r w:rsidR="006E395D" w:rsidRPr="00DD01B2">
        <w:rPr>
          <w:rFonts w:ascii="Aptos" w:hAnsi="Aptos" w:cstheme="minorHAnsi"/>
          <w:sz w:val="21"/>
          <w:szCs w:val="21"/>
        </w:rPr>
        <w:t xml:space="preserve">  putem odobrenih</w:t>
      </w:r>
      <w:r w:rsidR="00F0336C" w:rsidRPr="00DD01B2">
        <w:rPr>
          <w:rFonts w:ascii="Aptos" w:hAnsi="Aptos" w:cstheme="minorHAnsi"/>
          <w:sz w:val="21"/>
          <w:szCs w:val="21"/>
        </w:rPr>
        <w:t xml:space="preserve"> dugoročnih</w:t>
      </w:r>
      <w:r w:rsidR="006E395D" w:rsidRPr="00DD01B2">
        <w:rPr>
          <w:rFonts w:ascii="Aptos" w:hAnsi="Aptos" w:cstheme="minorHAnsi"/>
          <w:sz w:val="21"/>
          <w:szCs w:val="21"/>
        </w:rPr>
        <w:t xml:space="preserve"> kredita</w:t>
      </w:r>
      <w:r w:rsidR="002E51BE" w:rsidRPr="00DD01B2">
        <w:rPr>
          <w:rFonts w:ascii="Aptos" w:hAnsi="Aptos" w:cstheme="minorHAnsi"/>
          <w:sz w:val="21"/>
          <w:szCs w:val="21"/>
        </w:rPr>
        <w:t xml:space="preserve"> </w:t>
      </w:r>
      <w:r w:rsidR="005F56E1" w:rsidRPr="00DD01B2">
        <w:rPr>
          <w:rFonts w:ascii="Aptos" w:hAnsi="Aptos" w:cstheme="minorHAnsi"/>
          <w:sz w:val="21"/>
          <w:szCs w:val="21"/>
        </w:rPr>
        <w:t xml:space="preserve">te </w:t>
      </w:r>
      <w:r w:rsidR="00472B91" w:rsidRPr="00DD01B2">
        <w:rPr>
          <w:rFonts w:ascii="Aptos" w:hAnsi="Aptos" w:cstheme="minorHAnsi"/>
          <w:sz w:val="21"/>
          <w:szCs w:val="21"/>
        </w:rPr>
        <w:t>potraživanj</w:t>
      </w:r>
      <w:r w:rsidR="00352C9E" w:rsidRPr="00DD01B2">
        <w:rPr>
          <w:rFonts w:ascii="Aptos" w:hAnsi="Aptos" w:cstheme="minorHAnsi"/>
          <w:sz w:val="21"/>
          <w:szCs w:val="21"/>
        </w:rPr>
        <w:t>e</w:t>
      </w:r>
      <w:r w:rsidR="00472B91" w:rsidRPr="00DD01B2">
        <w:rPr>
          <w:rFonts w:ascii="Aptos" w:hAnsi="Aptos" w:cstheme="minorHAnsi"/>
          <w:sz w:val="21"/>
          <w:szCs w:val="21"/>
        </w:rPr>
        <w:t xml:space="preserve"> od prodaje zemljišta</w:t>
      </w:r>
      <w:r w:rsidR="002A75AF" w:rsidRPr="00DD01B2">
        <w:rPr>
          <w:rFonts w:ascii="Aptos" w:hAnsi="Aptos" w:cstheme="minorHAnsi"/>
          <w:sz w:val="21"/>
          <w:szCs w:val="21"/>
        </w:rPr>
        <w:t>.</w:t>
      </w:r>
    </w:p>
    <w:p w14:paraId="7E0BD839" w14:textId="7492E9CB" w:rsidR="00BE135E" w:rsidRDefault="002A75AF" w:rsidP="0097188E">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 xml:space="preserve">Sukladno Pravilniku o proračunskom računovodstvu i računskom planu izvršen je ispravak vrijednosti potraživanja u iznosu od </w:t>
      </w:r>
      <w:r w:rsidR="00BE135E">
        <w:rPr>
          <w:rFonts w:ascii="Aptos" w:hAnsi="Aptos" w:cstheme="minorHAnsi"/>
          <w:sz w:val="21"/>
          <w:szCs w:val="21"/>
        </w:rPr>
        <w:t>18.319,15</w:t>
      </w:r>
      <w:r w:rsidR="00472B91" w:rsidRPr="00DD01B2">
        <w:rPr>
          <w:rFonts w:ascii="Aptos" w:hAnsi="Aptos" w:cstheme="minorHAnsi"/>
          <w:sz w:val="21"/>
          <w:szCs w:val="21"/>
        </w:rPr>
        <w:t xml:space="preserve"> €</w:t>
      </w:r>
      <w:r w:rsidR="00025229" w:rsidRPr="00DD01B2">
        <w:rPr>
          <w:rFonts w:ascii="Aptos" w:hAnsi="Aptos" w:cstheme="minorHAnsi"/>
          <w:sz w:val="21"/>
          <w:szCs w:val="21"/>
        </w:rPr>
        <w:t xml:space="preserve">, što je u odnosu na prošlu godinu znatno </w:t>
      </w:r>
      <w:r w:rsidR="00BE135E">
        <w:rPr>
          <w:rFonts w:ascii="Aptos" w:hAnsi="Aptos" w:cstheme="minorHAnsi"/>
          <w:sz w:val="21"/>
          <w:szCs w:val="21"/>
        </w:rPr>
        <w:t xml:space="preserve">više obzirom da je ispravkom vrijednosti obuhvaćeno </w:t>
      </w:r>
      <w:r w:rsidR="00BE135E" w:rsidRPr="00DD01B2">
        <w:rPr>
          <w:rFonts w:ascii="Aptos" w:hAnsi="Aptos" w:cstheme="minorHAnsi"/>
          <w:sz w:val="21"/>
          <w:szCs w:val="21"/>
        </w:rPr>
        <w:t>potraživanj</w:t>
      </w:r>
      <w:r w:rsidR="00BE135E">
        <w:rPr>
          <w:rFonts w:ascii="Aptos" w:hAnsi="Aptos" w:cstheme="minorHAnsi"/>
          <w:sz w:val="21"/>
          <w:szCs w:val="21"/>
        </w:rPr>
        <w:t>e</w:t>
      </w:r>
      <w:r w:rsidR="00BE135E" w:rsidRPr="00DD01B2">
        <w:rPr>
          <w:rFonts w:ascii="Aptos" w:hAnsi="Aptos" w:cstheme="minorHAnsi"/>
          <w:sz w:val="21"/>
          <w:szCs w:val="21"/>
        </w:rPr>
        <w:t xml:space="preserve"> od fizičkih osoba za prodaju stanova putem odobrenih dugoročnih kredita</w:t>
      </w:r>
      <w:r w:rsidR="00BE135E">
        <w:rPr>
          <w:rFonts w:ascii="Aptos" w:hAnsi="Aptos" w:cstheme="minorHAnsi"/>
          <w:sz w:val="21"/>
          <w:szCs w:val="21"/>
        </w:rPr>
        <w:t>.</w:t>
      </w:r>
    </w:p>
    <w:p w14:paraId="6BB1535F" w14:textId="41B876C2" w:rsidR="00562910" w:rsidRPr="00BE135E" w:rsidRDefault="00562910" w:rsidP="00BE135E">
      <w:pPr>
        <w:spacing w:before="60" w:after="60"/>
        <w:ind w:left="-426" w:right="-380"/>
        <w:jc w:val="both"/>
        <w:rPr>
          <w:rFonts w:ascii="Aptos" w:hAnsi="Aptos" w:cstheme="minorHAnsi"/>
          <w:b/>
          <w:sz w:val="21"/>
          <w:szCs w:val="21"/>
        </w:rPr>
      </w:pPr>
      <w:r w:rsidRPr="00DD01B2">
        <w:rPr>
          <w:rFonts w:ascii="Aptos" w:hAnsi="Aptos" w:cstheme="minorHAnsi"/>
          <w:b/>
          <w:sz w:val="21"/>
          <w:szCs w:val="21"/>
        </w:rPr>
        <w:t>ŠIFRA 19 – Rashodi budućih razdoblja i nedospjela naplata prihoda</w:t>
      </w:r>
    </w:p>
    <w:p w14:paraId="68240ED1" w14:textId="754B9A5F" w:rsidR="00562910" w:rsidRPr="00DD01B2" w:rsidRDefault="00BE135E" w:rsidP="00BE135E">
      <w:pPr>
        <w:spacing w:before="60" w:after="60"/>
        <w:ind w:left="-425" w:right="-380" w:firstLine="284"/>
        <w:jc w:val="both"/>
        <w:rPr>
          <w:rFonts w:ascii="Aptos" w:hAnsi="Aptos" w:cstheme="minorHAnsi"/>
          <w:sz w:val="21"/>
          <w:szCs w:val="21"/>
        </w:rPr>
      </w:pPr>
      <w:r>
        <w:rPr>
          <w:rFonts w:ascii="Aptos" w:hAnsi="Aptos" w:cstheme="minorHAnsi"/>
          <w:sz w:val="21"/>
          <w:szCs w:val="21"/>
        </w:rPr>
        <w:t>R</w:t>
      </w:r>
      <w:r w:rsidR="00562910" w:rsidRPr="00DD01B2">
        <w:rPr>
          <w:rFonts w:ascii="Aptos" w:hAnsi="Aptos" w:cstheme="minorHAnsi"/>
          <w:sz w:val="21"/>
          <w:szCs w:val="21"/>
        </w:rPr>
        <w:t>ashod</w:t>
      </w:r>
      <w:r>
        <w:rPr>
          <w:rFonts w:ascii="Aptos" w:hAnsi="Aptos" w:cstheme="minorHAnsi"/>
          <w:sz w:val="21"/>
          <w:szCs w:val="21"/>
        </w:rPr>
        <w:t>i</w:t>
      </w:r>
      <w:r w:rsidR="00562910" w:rsidRPr="00DD01B2">
        <w:rPr>
          <w:rFonts w:ascii="Aptos" w:hAnsi="Aptos" w:cstheme="minorHAnsi"/>
          <w:sz w:val="21"/>
          <w:szCs w:val="21"/>
        </w:rPr>
        <w:t xml:space="preserve"> budućih razdoblja – šifra 191 u iznosu od </w:t>
      </w:r>
      <w:r>
        <w:rPr>
          <w:rFonts w:ascii="Aptos" w:hAnsi="Aptos" w:cstheme="minorHAnsi"/>
          <w:sz w:val="21"/>
          <w:szCs w:val="21"/>
        </w:rPr>
        <w:t>14.282,69</w:t>
      </w:r>
      <w:r w:rsidR="00562910" w:rsidRPr="00DD01B2">
        <w:rPr>
          <w:rFonts w:ascii="Aptos" w:hAnsi="Aptos" w:cstheme="minorHAnsi"/>
          <w:sz w:val="21"/>
          <w:szCs w:val="21"/>
        </w:rPr>
        <w:t xml:space="preserve"> € uključuju pretplate za tiskana i on-line izdanja časopisa, korištenja portala i sl. te rashode dopunskog zdravstvenog osiguranja zaposlenika gradske uprave za 202</w:t>
      </w:r>
      <w:r>
        <w:rPr>
          <w:rFonts w:ascii="Aptos" w:hAnsi="Aptos" w:cstheme="minorHAnsi"/>
          <w:sz w:val="21"/>
          <w:szCs w:val="21"/>
        </w:rPr>
        <w:t>6</w:t>
      </w:r>
      <w:r w:rsidR="00562910" w:rsidRPr="00DD01B2">
        <w:rPr>
          <w:rFonts w:ascii="Aptos" w:hAnsi="Aptos" w:cstheme="minorHAnsi"/>
          <w:sz w:val="21"/>
          <w:szCs w:val="21"/>
        </w:rPr>
        <w:t>. godinu</w:t>
      </w:r>
      <w:r>
        <w:rPr>
          <w:rFonts w:ascii="Aptos" w:hAnsi="Aptos" w:cstheme="minorHAnsi"/>
          <w:sz w:val="21"/>
          <w:szCs w:val="21"/>
        </w:rPr>
        <w:t xml:space="preserve">, dok se </w:t>
      </w:r>
      <w:r w:rsidR="001874DC" w:rsidRPr="00DD01B2">
        <w:rPr>
          <w:rFonts w:ascii="Aptos" w:hAnsi="Aptos" w:cstheme="minorHAnsi"/>
          <w:sz w:val="21"/>
          <w:szCs w:val="21"/>
        </w:rPr>
        <w:t>nedospjel</w:t>
      </w:r>
      <w:r>
        <w:rPr>
          <w:rFonts w:ascii="Aptos" w:hAnsi="Aptos" w:cstheme="minorHAnsi"/>
          <w:sz w:val="21"/>
          <w:szCs w:val="21"/>
        </w:rPr>
        <w:t>a</w:t>
      </w:r>
      <w:r w:rsidR="001874DC" w:rsidRPr="00DD01B2">
        <w:rPr>
          <w:rFonts w:ascii="Aptos" w:hAnsi="Aptos" w:cstheme="minorHAnsi"/>
          <w:sz w:val="21"/>
          <w:szCs w:val="21"/>
        </w:rPr>
        <w:t xml:space="preserve"> naplat</w:t>
      </w:r>
      <w:r>
        <w:rPr>
          <w:rFonts w:ascii="Aptos" w:hAnsi="Aptos" w:cstheme="minorHAnsi"/>
          <w:sz w:val="21"/>
          <w:szCs w:val="21"/>
        </w:rPr>
        <w:t>a</w:t>
      </w:r>
      <w:r w:rsidR="001874DC" w:rsidRPr="00DD01B2">
        <w:rPr>
          <w:rFonts w:ascii="Aptos" w:hAnsi="Aptos" w:cstheme="minorHAnsi"/>
          <w:sz w:val="21"/>
          <w:szCs w:val="21"/>
        </w:rPr>
        <w:t xml:space="preserve"> prihoda – šifra 192 u iznosu od </w:t>
      </w:r>
      <w:r>
        <w:rPr>
          <w:rFonts w:ascii="Aptos" w:hAnsi="Aptos" w:cstheme="minorHAnsi"/>
          <w:sz w:val="21"/>
          <w:szCs w:val="21"/>
        </w:rPr>
        <w:t>13.</w:t>
      </w:r>
      <w:r w:rsidR="00402902">
        <w:rPr>
          <w:rFonts w:ascii="Aptos" w:hAnsi="Aptos" w:cstheme="minorHAnsi"/>
          <w:sz w:val="21"/>
          <w:szCs w:val="21"/>
        </w:rPr>
        <w:t>723,85</w:t>
      </w:r>
      <w:r w:rsidR="001874DC" w:rsidRPr="00DD01B2">
        <w:rPr>
          <w:rFonts w:ascii="Aptos" w:hAnsi="Aptos" w:cstheme="minorHAnsi"/>
          <w:sz w:val="21"/>
          <w:szCs w:val="21"/>
        </w:rPr>
        <w:t xml:space="preserve"> € odnosi na sredstva iz cijene komunalnih usluga prijevoza komunaln</w:t>
      </w:r>
      <w:r w:rsidR="00352C9E" w:rsidRPr="00DD01B2">
        <w:rPr>
          <w:rFonts w:ascii="Aptos" w:hAnsi="Aptos" w:cstheme="minorHAnsi"/>
          <w:sz w:val="21"/>
          <w:szCs w:val="21"/>
        </w:rPr>
        <w:t>og</w:t>
      </w:r>
      <w:r w:rsidR="001874DC" w:rsidRPr="00DD01B2">
        <w:rPr>
          <w:rFonts w:ascii="Aptos" w:hAnsi="Aptos" w:cstheme="minorHAnsi"/>
          <w:sz w:val="21"/>
          <w:szCs w:val="21"/>
        </w:rPr>
        <w:t xml:space="preserve"> društva Autotrolej d.o.o. Rijeka namijenjene razvoju</w:t>
      </w:r>
      <w:r w:rsidR="00352C9E" w:rsidRPr="00DD01B2">
        <w:rPr>
          <w:rFonts w:ascii="Aptos" w:hAnsi="Aptos" w:cstheme="minorHAnsi"/>
          <w:sz w:val="21"/>
          <w:szCs w:val="21"/>
        </w:rPr>
        <w:t>.</w:t>
      </w:r>
    </w:p>
    <w:p w14:paraId="534B9F51" w14:textId="60C06C09" w:rsidR="007A2D18" w:rsidRPr="00DD01B2" w:rsidRDefault="001F4633" w:rsidP="00D066EF">
      <w:pPr>
        <w:pBdr>
          <w:top w:val="single" w:sz="4" w:space="1" w:color="auto"/>
          <w:left w:val="single" w:sz="4" w:space="4" w:color="auto"/>
          <w:bottom w:val="single" w:sz="4" w:space="1" w:color="auto"/>
          <w:right w:val="single" w:sz="4" w:space="19" w:color="auto"/>
        </w:pBdr>
        <w:spacing w:before="60" w:after="60"/>
        <w:ind w:left="-425"/>
        <w:jc w:val="center"/>
        <w:rPr>
          <w:rFonts w:ascii="Aptos" w:hAnsi="Aptos" w:cstheme="minorHAnsi"/>
          <w:b/>
          <w:sz w:val="21"/>
          <w:szCs w:val="21"/>
        </w:rPr>
      </w:pPr>
      <w:r w:rsidRPr="00DD01B2">
        <w:rPr>
          <w:rFonts w:ascii="Aptos" w:hAnsi="Aptos" w:cstheme="minorHAnsi"/>
          <w:b/>
          <w:sz w:val="21"/>
          <w:szCs w:val="21"/>
        </w:rPr>
        <w:t>OBVEZE</w:t>
      </w:r>
    </w:p>
    <w:p w14:paraId="7F72408E" w14:textId="7C74E9ED" w:rsidR="00D066EF" w:rsidRPr="00DD01B2" w:rsidRDefault="00D066EF" w:rsidP="00D066EF">
      <w:pPr>
        <w:spacing w:before="60" w:after="60"/>
        <w:ind w:left="-426" w:right="-380"/>
        <w:jc w:val="both"/>
        <w:rPr>
          <w:rFonts w:ascii="Aptos" w:hAnsi="Aptos" w:cstheme="minorHAnsi"/>
          <w:b/>
          <w:sz w:val="21"/>
          <w:szCs w:val="21"/>
        </w:rPr>
      </w:pPr>
      <w:r w:rsidRPr="00DD01B2">
        <w:rPr>
          <w:rFonts w:ascii="Aptos" w:hAnsi="Aptos" w:cstheme="minorHAnsi"/>
          <w:b/>
          <w:sz w:val="21"/>
          <w:szCs w:val="21"/>
        </w:rPr>
        <w:t xml:space="preserve">ŠIFRA </w:t>
      </w:r>
      <w:r>
        <w:rPr>
          <w:rFonts w:ascii="Aptos" w:hAnsi="Aptos" w:cstheme="minorHAnsi"/>
          <w:b/>
          <w:sz w:val="21"/>
          <w:szCs w:val="21"/>
        </w:rPr>
        <w:t>23</w:t>
      </w:r>
      <w:r w:rsidRPr="00DD01B2">
        <w:rPr>
          <w:rFonts w:ascii="Aptos" w:hAnsi="Aptos" w:cstheme="minorHAnsi"/>
          <w:b/>
          <w:sz w:val="21"/>
          <w:szCs w:val="21"/>
        </w:rPr>
        <w:t xml:space="preserve"> </w:t>
      </w:r>
      <w:r>
        <w:rPr>
          <w:rFonts w:ascii="Aptos" w:hAnsi="Aptos" w:cstheme="minorHAnsi"/>
          <w:b/>
          <w:sz w:val="21"/>
          <w:szCs w:val="21"/>
        </w:rPr>
        <w:t>–</w:t>
      </w:r>
      <w:r w:rsidRPr="00DD01B2">
        <w:rPr>
          <w:rFonts w:ascii="Aptos" w:hAnsi="Aptos" w:cstheme="minorHAnsi"/>
          <w:b/>
          <w:sz w:val="21"/>
          <w:szCs w:val="21"/>
        </w:rPr>
        <w:t xml:space="preserve"> </w:t>
      </w:r>
      <w:r>
        <w:rPr>
          <w:rFonts w:ascii="Aptos" w:hAnsi="Aptos" w:cstheme="minorHAnsi"/>
          <w:b/>
          <w:sz w:val="21"/>
          <w:szCs w:val="21"/>
        </w:rPr>
        <w:t>Obveze za rashode poslovanja</w:t>
      </w:r>
    </w:p>
    <w:p w14:paraId="4A456F34" w14:textId="528DFC6F" w:rsidR="005B35C8" w:rsidRPr="00DD01B2" w:rsidRDefault="00D066EF" w:rsidP="00D066EF">
      <w:pPr>
        <w:spacing w:before="60" w:after="60"/>
        <w:ind w:left="-425" w:right="-380" w:firstLine="284"/>
        <w:jc w:val="both"/>
        <w:rPr>
          <w:rFonts w:ascii="Aptos" w:hAnsi="Aptos" w:cstheme="minorHAnsi"/>
          <w:sz w:val="21"/>
          <w:szCs w:val="21"/>
        </w:rPr>
      </w:pPr>
      <w:r>
        <w:rPr>
          <w:rFonts w:ascii="Aptos" w:hAnsi="Aptos" w:cstheme="minorHAnsi"/>
          <w:sz w:val="21"/>
          <w:szCs w:val="21"/>
        </w:rPr>
        <w:t>O</w:t>
      </w:r>
      <w:r w:rsidR="003573A7" w:rsidRPr="00DD01B2">
        <w:rPr>
          <w:rFonts w:ascii="Aptos" w:hAnsi="Aptos" w:cstheme="minorHAnsi"/>
          <w:sz w:val="21"/>
          <w:szCs w:val="21"/>
        </w:rPr>
        <w:t xml:space="preserve">bveze </w:t>
      </w:r>
      <w:r>
        <w:rPr>
          <w:rFonts w:ascii="Aptos" w:hAnsi="Aptos" w:cstheme="minorHAnsi"/>
          <w:sz w:val="21"/>
          <w:szCs w:val="21"/>
        </w:rPr>
        <w:t>za rashode poslovanja u odnosu na prošlu godinu veće su za 7,7%, a n</w:t>
      </w:r>
      <w:r w:rsidR="005B35C8" w:rsidRPr="00DD01B2">
        <w:rPr>
          <w:rFonts w:ascii="Aptos" w:hAnsi="Aptos" w:cstheme="minorHAnsi"/>
          <w:sz w:val="21"/>
          <w:szCs w:val="21"/>
        </w:rPr>
        <w:t>a povećanje vrijednosti obveza utjecalo je povećanj</w:t>
      </w:r>
      <w:r>
        <w:rPr>
          <w:rFonts w:ascii="Aptos" w:hAnsi="Aptos" w:cstheme="minorHAnsi"/>
          <w:sz w:val="21"/>
          <w:szCs w:val="21"/>
        </w:rPr>
        <w:t>e broja zaposlenih</w:t>
      </w:r>
      <w:r w:rsidR="005B35C8" w:rsidRPr="00DD01B2">
        <w:rPr>
          <w:rFonts w:ascii="Aptos" w:hAnsi="Aptos" w:cstheme="minorHAnsi"/>
          <w:sz w:val="21"/>
          <w:szCs w:val="21"/>
        </w:rPr>
        <w:t xml:space="preserve"> u upravnim tijelima Grada Bakra, </w:t>
      </w:r>
      <w:r w:rsidR="00D01EF8" w:rsidRPr="00DD01B2">
        <w:rPr>
          <w:rFonts w:ascii="Aptos" w:hAnsi="Aptos" w:cstheme="minorHAnsi"/>
          <w:sz w:val="21"/>
          <w:szCs w:val="21"/>
        </w:rPr>
        <w:t>inflatorni utjecaj i rast cijena dobara i usluga na tržištu</w:t>
      </w:r>
      <w:r w:rsidR="00103600">
        <w:rPr>
          <w:rFonts w:ascii="Aptos" w:hAnsi="Aptos" w:cstheme="minorHAnsi"/>
          <w:sz w:val="21"/>
          <w:szCs w:val="21"/>
        </w:rPr>
        <w:t>.</w:t>
      </w:r>
    </w:p>
    <w:p w14:paraId="05EF5D33" w14:textId="17FDA5D0" w:rsidR="00D066EF" w:rsidRPr="00DD01B2" w:rsidRDefault="00D066EF" w:rsidP="00D066EF">
      <w:pPr>
        <w:spacing w:before="60" w:after="60"/>
        <w:ind w:left="-426" w:right="-380"/>
        <w:jc w:val="both"/>
        <w:rPr>
          <w:rFonts w:ascii="Aptos" w:hAnsi="Aptos" w:cstheme="minorHAnsi"/>
          <w:b/>
          <w:sz w:val="21"/>
          <w:szCs w:val="21"/>
        </w:rPr>
      </w:pPr>
      <w:r w:rsidRPr="00DD01B2">
        <w:rPr>
          <w:rFonts w:ascii="Aptos" w:hAnsi="Aptos" w:cstheme="minorHAnsi"/>
          <w:b/>
          <w:sz w:val="21"/>
          <w:szCs w:val="21"/>
        </w:rPr>
        <w:t xml:space="preserve">ŠIFRA </w:t>
      </w:r>
      <w:r>
        <w:rPr>
          <w:rFonts w:ascii="Aptos" w:hAnsi="Aptos" w:cstheme="minorHAnsi"/>
          <w:b/>
          <w:sz w:val="21"/>
          <w:szCs w:val="21"/>
        </w:rPr>
        <w:t>24</w:t>
      </w:r>
      <w:r w:rsidRPr="00DD01B2">
        <w:rPr>
          <w:rFonts w:ascii="Aptos" w:hAnsi="Aptos" w:cstheme="minorHAnsi"/>
          <w:b/>
          <w:sz w:val="21"/>
          <w:szCs w:val="21"/>
        </w:rPr>
        <w:t xml:space="preserve"> </w:t>
      </w:r>
      <w:r>
        <w:rPr>
          <w:rFonts w:ascii="Aptos" w:hAnsi="Aptos" w:cstheme="minorHAnsi"/>
          <w:b/>
          <w:sz w:val="21"/>
          <w:szCs w:val="21"/>
        </w:rPr>
        <w:t>–</w:t>
      </w:r>
      <w:r w:rsidRPr="00DD01B2">
        <w:rPr>
          <w:rFonts w:ascii="Aptos" w:hAnsi="Aptos" w:cstheme="minorHAnsi"/>
          <w:b/>
          <w:sz w:val="21"/>
          <w:szCs w:val="21"/>
        </w:rPr>
        <w:t xml:space="preserve"> </w:t>
      </w:r>
      <w:r>
        <w:rPr>
          <w:rFonts w:ascii="Aptos" w:hAnsi="Aptos" w:cstheme="minorHAnsi"/>
          <w:b/>
          <w:sz w:val="21"/>
          <w:szCs w:val="21"/>
        </w:rPr>
        <w:t>Obveze za nabavu nefinancijske imovine</w:t>
      </w:r>
    </w:p>
    <w:p w14:paraId="57931C65" w14:textId="0683DBF9" w:rsidR="00B41F71" w:rsidRDefault="00103600" w:rsidP="00B41F71">
      <w:pPr>
        <w:spacing w:before="60" w:after="60"/>
        <w:ind w:left="-425" w:right="-380" w:firstLine="284"/>
        <w:jc w:val="both"/>
        <w:rPr>
          <w:rFonts w:ascii="Aptos" w:hAnsi="Aptos" w:cstheme="minorHAnsi"/>
          <w:sz w:val="21"/>
          <w:szCs w:val="21"/>
        </w:rPr>
      </w:pPr>
      <w:r>
        <w:rPr>
          <w:rFonts w:ascii="Aptos" w:hAnsi="Aptos" w:cstheme="minorHAnsi"/>
          <w:sz w:val="21"/>
          <w:szCs w:val="21"/>
        </w:rPr>
        <w:t>Obveze za nabavu nefinancijske imovine u odnosu na prošlu godinu manje su za 44,4%</w:t>
      </w:r>
      <w:r w:rsidR="00B41F71">
        <w:rPr>
          <w:rFonts w:ascii="Aptos" w:hAnsi="Aptos" w:cstheme="minorHAnsi"/>
          <w:sz w:val="21"/>
          <w:szCs w:val="21"/>
        </w:rPr>
        <w:t>, obzirom da je krajem prošle godine evidentirana obveza prema KD Vodovod i kanalizacija d.o.o. Rijeka za sufinanciranje p</w:t>
      </w:r>
      <w:r w:rsidR="00B41F71" w:rsidRPr="00B41F71">
        <w:rPr>
          <w:rFonts w:ascii="Aptos" w:hAnsi="Aptos" w:cstheme="minorHAnsi"/>
          <w:sz w:val="21"/>
          <w:szCs w:val="21"/>
        </w:rPr>
        <w:t>rojekt</w:t>
      </w:r>
      <w:r w:rsidR="00B41F71">
        <w:rPr>
          <w:rFonts w:ascii="Aptos" w:hAnsi="Aptos" w:cstheme="minorHAnsi"/>
          <w:sz w:val="21"/>
          <w:szCs w:val="21"/>
        </w:rPr>
        <w:t>a</w:t>
      </w:r>
      <w:r w:rsidR="00B41F71" w:rsidRPr="00B41F71">
        <w:rPr>
          <w:rFonts w:ascii="Aptos" w:hAnsi="Aptos" w:cstheme="minorHAnsi"/>
          <w:sz w:val="21"/>
          <w:szCs w:val="21"/>
        </w:rPr>
        <w:t xml:space="preserve"> Vodoopskrba </w:t>
      </w:r>
      <w:proofErr w:type="spellStart"/>
      <w:r w:rsidR="00B41F71" w:rsidRPr="00B41F71">
        <w:rPr>
          <w:rFonts w:ascii="Aptos" w:hAnsi="Aptos" w:cstheme="minorHAnsi"/>
          <w:sz w:val="21"/>
          <w:szCs w:val="21"/>
        </w:rPr>
        <w:t>Melnice</w:t>
      </w:r>
      <w:proofErr w:type="spellEnd"/>
      <w:r w:rsidR="00B41F71" w:rsidRPr="00B41F71">
        <w:rPr>
          <w:rFonts w:ascii="Aptos" w:hAnsi="Aptos" w:cstheme="minorHAnsi"/>
          <w:sz w:val="21"/>
          <w:szCs w:val="21"/>
        </w:rPr>
        <w:t xml:space="preserve"> </w:t>
      </w:r>
      <w:r w:rsidR="00B41F71">
        <w:rPr>
          <w:rFonts w:ascii="Aptos" w:hAnsi="Aptos" w:cstheme="minorHAnsi"/>
          <w:sz w:val="21"/>
          <w:szCs w:val="21"/>
        </w:rPr>
        <w:t>u iznosu od 466.320 € koja je podmirena u siječnju 2025. godine.</w:t>
      </w:r>
    </w:p>
    <w:p w14:paraId="2789B763" w14:textId="77777777" w:rsidR="0000385F" w:rsidRDefault="0000385F" w:rsidP="00B41F71">
      <w:pPr>
        <w:spacing w:before="60" w:after="60"/>
        <w:ind w:left="-425" w:right="-380" w:firstLine="284"/>
        <w:jc w:val="both"/>
        <w:rPr>
          <w:rFonts w:ascii="Aptos" w:hAnsi="Aptos" w:cstheme="minorHAnsi"/>
          <w:sz w:val="21"/>
          <w:szCs w:val="21"/>
        </w:rPr>
      </w:pPr>
    </w:p>
    <w:p w14:paraId="4EE3445B" w14:textId="77777777" w:rsidR="0000385F" w:rsidRDefault="0000385F" w:rsidP="00B41F71">
      <w:pPr>
        <w:spacing w:before="60" w:after="60"/>
        <w:ind w:left="-425" w:right="-380" w:firstLine="284"/>
        <w:jc w:val="both"/>
        <w:rPr>
          <w:rFonts w:ascii="Aptos" w:hAnsi="Aptos" w:cstheme="minorHAnsi"/>
          <w:sz w:val="21"/>
          <w:szCs w:val="21"/>
        </w:rPr>
      </w:pPr>
    </w:p>
    <w:p w14:paraId="339CAAA1" w14:textId="7B4C1264" w:rsidR="00B41F71" w:rsidRPr="00DD01B2" w:rsidRDefault="00B41F71" w:rsidP="00B41F71">
      <w:pPr>
        <w:spacing w:before="60" w:after="60"/>
        <w:ind w:left="-426" w:right="-380"/>
        <w:jc w:val="both"/>
        <w:rPr>
          <w:rFonts w:ascii="Aptos" w:hAnsi="Aptos" w:cstheme="minorHAnsi"/>
          <w:b/>
          <w:sz w:val="21"/>
          <w:szCs w:val="21"/>
        </w:rPr>
      </w:pPr>
      <w:r w:rsidRPr="00DD01B2">
        <w:rPr>
          <w:rFonts w:ascii="Aptos" w:hAnsi="Aptos" w:cstheme="minorHAnsi"/>
          <w:b/>
          <w:sz w:val="21"/>
          <w:szCs w:val="21"/>
        </w:rPr>
        <w:lastRenderedPageBreak/>
        <w:t xml:space="preserve">ŠIFRA </w:t>
      </w:r>
      <w:r>
        <w:rPr>
          <w:rFonts w:ascii="Aptos" w:hAnsi="Aptos" w:cstheme="minorHAnsi"/>
          <w:b/>
          <w:sz w:val="21"/>
          <w:szCs w:val="21"/>
        </w:rPr>
        <w:t>26</w:t>
      </w:r>
      <w:r w:rsidRPr="00DD01B2">
        <w:rPr>
          <w:rFonts w:ascii="Aptos" w:hAnsi="Aptos" w:cstheme="minorHAnsi"/>
          <w:b/>
          <w:sz w:val="21"/>
          <w:szCs w:val="21"/>
        </w:rPr>
        <w:t xml:space="preserve"> </w:t>
      </w:r>
      <w:r>
        <w:rPr>
          <w:rFonts w:ascii="Aptos" w:hAnsi="Aptos" w:cstheme="minorHAnsi"/>
          <w:b/>
          <w:sz w:val="21"/>
          <w:szCs w:val="21"/>
        </w:rPr>
        <w:t>–</w:t>
      </w:r>
      <w:r w:rsidRPr="00DD01B2">
        <w:rPr>
          <w:rFonts w:ascii="Aptos" w:hAnsi="Aptos" w:cstheme="minorHAnsi"/>
          <w:b/>
          <w:sz w:val="21"/>
          <w:szCs w:val="21"/>
        </w:rPr>
        <w:t xml:space="preserve"> </w:t>
      </w:r>
      <w:r>
        <w:rPr>
          <w:rFonts w:ascii="Aptos" w:hAnsi="Aptos" w:cstheme="minorHAnsi"/>
          <w:b/>
          <w:sz w:val="21"/>
          <w:szCs w:val="21"/>
        </w:rPr>
        <w:t>Obveze za kredite i zajmove</w:t>
      </w:r>
    </w:p>
    <w:p w14:paraId="44775CE2" w14:textId="10A5E049" w:rsidR="00EE5EE3" w:rsidRDefault="00EE5EE3" w:rsidP="00EE5EE3">
      <w:pPr>
        <w:spacing w:before="60" w:after="60"/>
        <w:ind w:left="-425" w:right="-380" w:firstLine="284"/>
        <w:jc w:val="both"/>
        <w:rPr>
          <w:rFonts w:ascii="Aptos" w:hAnsi="Aptos"/>
          <w:sz w:val="22"/>
          <w:szCs w:val="22"/>
          <w:lang w:val="pl-PL"/>
        </w:rPr>
      </w:pPr>
      <w:r>
        <w:rPr>
          <w:rFonts w:ascii="Aptos" w:hAnsi="Aptos" w:cstheme="minorHAnsi"/>
          <w:sz w:val="21"/>
          <w:szCs w:val="21"/>
        </w:rPr>
        <w:t xml:space="preserve">Sukladno otplatnom planu tijekom 2025. godine otplaćeni su anuiteti kredita </w:t>
      </w:r>
      <w:r w:rsidRPr="003E673F">
        <w:rPr>
          <w:rFonts w:ascii="Aptos" w:hAnsi="Aptos"/>
          <w:sz w:val="22"/>
          <w:szCs w:val="22"/>
          <w:lang w:val="pl-PL"/>
        </w:rPr>
        <w:t>Hrvatsk</w:t>
      </w:r>
      <w:r>
        <w:rPr>
          <w:rFonts w:ascii="Aptos" w:hAnsi="Aptos"/>
          <w:sz w:val="22"/>
          <w:szCs w:val="22"/>
          <w:lang w:val="pl-PL"/>
        </w:rPr>
        <w:t>e</w:t>
      </w:r>
      <w:r w:rsidRPr="003E673F">
        <w:rPr>
          <w:rFonts w:ascii="Aptos" w:hAnsi="Aptos"/>
          <w:sz w:val="22"/>
          <w:szCs w:val="22"/>
          <w:lang w:val="pl-PL"/>
        </w:rPr>
        <w:t xml:space="preserve"> bank</w:t>
      </w:r>
      <w:r>
        <w:rPr>
          <w:rFonts w:ascii="Aptos" w:hAnsi="Aptos"/>
          <w:sz w:val="22"/>
          <w:szCs w:val="22"/>
          <w:lang w:val="pl-PL"/>
        </w:rPr>
        <w:t>e</w:t>
      </w:r>
      <w:r w:rsidRPr="003E673F">
        <w:rPr>
          <w:rFonts w:ascii="Aptos" w:hAnsi="Aptos"/>
          <w:sz w:val="22"/>
          <w:szCs w:val="22"/>
          <w:lang w:val="pl-PL"/>
        </w:rPr>
        <w:t xml:space="preserve"> za obnovu i razvitak za rekonstrukciju javne rasvjete</w:t>
      </w:r>
      <w:r>
        <w:rPr>
          <w:rFonts w:ascii="Aptos" w:hAnsi="Aptos"/>
          <w:sz w:val="22"/>
          <w:szCs w:val="22"/>
          <w:lang w:val="pl-PL"/>
        </w:rPr>
        <w:t>, slijedom čega je i stanje obveza na kraju obračunskog razdoblja manje nego prošle godine.</w:t>
      </w:r>
    </w:p>
    <w:p w14:paraId="2616FAFB" w14:textId="05DB18B9" w:rsidR="00EE5EE3" w:rsidRPr="00DD01B2" w:rsidRDefault="00EE5EE3" w:rsidP="00EE5EE3">
      <w:pPr>
        <w:spacing w:before="60" w:after="60"/>
        <w:ind w:left="-426" w:right="-380"/>
        <w:jc w:val="both"/>
        <w:rPr>
          <w:rFonts w:ascii="Aptos" w:hAnsi="Aptos" w:cstheme="minorHAnsi"/>
          <w:b/>
          <w:sz w:val="21"/>
          <w:szCs w:val="21"/>
        </w:rPr>
      </w:pPr>
      <w:r w:rsidRPr="00DD01B2">
        <w:rPr>
          <w:rFonts w:ascii="Aptos" w:hAnsi="Aptos" w:cstheme="minorHAnsi"/>
          <w:b/>
          <w:sz w:val="21"/>
          <w:szCs w:val="21"/>
        </w:rPr>
        <w:t xml:space="preserve">ŠIFRA </w:t>
      </w:r>
      <w:r>
        <w:rPr>
          <w:rFonts w:ascii="Aptos" w:hAnsi="Aptos" w:cstheme="minorHAnsi"/>
          <w:b/>
          <w:sz w:val="21"/>
          <w:szCs w:val="21"/>
        </w:rPr>
        <w:t>27</w:t>
      </w:r>
      <w:r w:rsidRPr="00DD01B2">
        <w:rPr>
          <w:rFonts w:ascii="Aptos" w:hAnsi="Aptos" w:cstheme="minorHAnsi"/>
          <w:b/>
          <w:sz w:val="21"/>
          <w:szCs w:val="21"/>
        </w:rPr>
        <w:t xml:space="preserve"> </w:t>
      </w:r>
      <w:r>
        <w:rPr>
          <w:rFonts w:ascii="Aptos" w:hAnsi="Aptos" w:cstheme="minorHAnsi"/>
          <w:b/>
          <w:sz w:val="21"/>
          <w:szCs w:val="21"/>
        </w:rPr>
        <w:t>–</w:t>
      </w:r>
      <w:r w:rsidRPr="00DD01B2">
        <w:rPr>
          <w:rFonts w:ascii="Aptos" w:hAnsi="Aptos" w:cstheme="minorHAnsi"/>
          <w:b/>
          <w:sz w:val="21"/>
          <w:szCs w:val="21"/>
        </w:rPr>
        <w:t xml:space="preserve"> </w:t>
      </w:r>
      <w:r>
        <w:rPr>
          <w:rFonts w:ascii="Aptos" w:hAnsi="Aptos" w:cstheme="minorHAnsi"/>
          <w:b/>
          <w:sz w:val="21"/>
          <w:szCs w:val="21"/>
        </w:rPr>
        <w:t xml:space="preserve">Obveze za predujmove, </w:t>
      </w:r>
      <w:proofErr w:type="spellStart"/>
      <w:r>
        <w:rPr>
          <w:rFonts w:ascii="Aptos" w:hAnsi="Aptos" w:cstheme="minorHAnsi"/>
          <w:b/>
          <w:sz w:val="21"/>
          <w:szCs w:val="21"/>
        </w:rPr>
        <w:t>jamčevne</w:t>
      </w:r>
      <w:proofErr w:type="spellEnd"/>
      <w:r>
        <w:rPr>
          <w:rFonts w:ascii="Aptos" w:hAnsi="Aptos" w:cstheme="minorHAnsi"/>
          <w:b/>
          <w:sz w:val="21"/>
          <w:szCs w:val="21"/>
        </w:rPr>
        <w:t xml:space="preserve"> </w:t>
      </w:r>
      <w:proofErr w:type="spellStart"/>
      <w:r>
        <w:rPr>
          <w:rFonts w:ascii="Aptos" w:hAnsi="Aptos" w:cstheme="minorHAnsi"/>
          <w:b/>
          <w:sz w:val="21"/>
          <w:szCs w:val="21"/>
        </w:rPr>
        <w:t>pologe</w:t>
      </w:r>
      <w:proofErr w:type="spellEnd"/>
      <w:r>
        <w:rPr>
          <w:rFonts w:ascii="Aptos" w:hAnsi="Aptos" w:cstheme="minorHAnsi"/>
          <w:b/>
          <w:sz w:val="21"/>
          <w:szCs w:val="21"/>
        </w:rPr>
        <w:t xml:space="preserve"> i tuđe prihode</w:t>
      </w:r>
    </w:p>
    <w:p w14:paraId="5AA73038" w14:textId="666F4FDD" w:rsidR="00EE5EE3" w:rsidRDefault="000B478E" w:rsidP="00EE5EE3">
      <w:pPr>
        <w:spacing w:before="60" w:after="60"/>
        <w:ind w:left="-425" w:right="-380" w:firstLine="284"/>
        <w:jc w:val="both"/>
        <w:rPr>
          <w:rFonts w:ascii="Aptos" w:hAnsi="Aptos" w:cstheme="minorHAnsi"/>
          <w:sz w:val="21"/>
          <w:szCs w:val="21"/>
        </w:rPr>
      </w:pPr>
      <w:r>
        <w:rPr>
          <w:rFonts w:ascii="Aptos" w:hAnsi="Aptos" w:cstheme="minorHAnsi"/>
          <w:sz w:val="21"/>
          <w:szCs w:val="21"/>
        </w:rPr>
        <w:t xml:space="preserve">U okviru ovih obveza evidentirane su obveze za predujmove u postupcima izrade elaborata procjene vrijednosti i prodaje zemljišta, obveze za </w:t>
      </w:r>
      <w:proofErr w:type="spellStart"/>
      <w:r>
        <w:rPr>
          <w:rFonts w:ascii="Aptos" w:hAnsi="Aptos" w:cstheme="minorHAnsi"/>
          <w:sz w:val="21"/>
          <w:szCs w:val="21"/>
        </w:rPr>
        <w:t>jamčevne</w:t>
      </w:r>
      <w:proofErr w:type="spellEnd"/>
      <w:r>
        <w:rPr>
          <w:rFonts w:ascii="Aptos" w:hAnsi="Aptos" w:cstheme="minorHAnsi"/>
          <w:sz w:val="21"/>
          <w:szCs w:val="21"/>
        </w:rPr>
        <w:t xml:space="preserve"> </w:t>
      </w:r>
      <w:proofErr w:type="spellStart"/>
      <w:r>
        <w:rPr>
          <w:rFonts w:ascii="Aptos" w:hAnsi="Aptos" w:cstheme="minorHAnsi"/>
          <w:sz w:val="21"/>
          <w:szCs w:val="21"/>
        </w:rPr>
        <w:t>pologe</w:t>
      </w:r>
      <w:proofErr w:type="spellEnd"/>
      <w:r>
        <w:rPr>
          <w:rFonts w:ascii="Aptos" w:hAnsi="Aptos" w:cstheme="minorHAnsi"/>
          <w:sz w:val="21"/>
          <w:szCs w:val="21"/>
        </w:rPr>
        <w:t xml:space="preserve"> u postupcima nabave radova, roba i usluga, obveze prema Hrvatskim vodama za naplaćenu naknadu za uređenje voda te obveze proračuna za naplaćena sredstva proračunskih korisnika, a iste su u odnosu na prošlogodišnje razdoblje manje za 13,7%.</w:t>
      </w:r>
    </w:p>
    <w:p w14:paraId="5709269B" w14:textId="7635F8D1" w:rsidR="003559E2" w:rsidRPr="00DD01B2" w:rsidRDefault="004D21C7" w:rsidP="004D21C7">
      <w:pPr>
        <w:pBdr>
          <w:top w:val="single" w:sz="4" w:space="1" w:color="auto"/>
          <w:left w:val="single" w:sz="4" w:space="4" w:color="auto"/>
          <w:bottom w:val="single" w:sz="4" w:space="1" w:color="auto"/>
          <w:right w:val="single" w:sz="4" w:space="19" w:color="auto"/>
        </w:pBdr>
        <w:spacing w:before="60" w:after="60"/>
        <w:ind w:left="-425"/>
        <w:jc w:val="center"/>
        <w:rPr>
          <w:rFonts w:ascii="Aptos" w:hAnsi="Aptos" w:cstheme="minorHAnsi"/>
          <w:b/>
          <w:sz w:val="21"/>
          <w:szCs w:val="21"/>
        </w:rPr>
      </w:pPr>
      <w:r>
        <w:rPr>
          <w:rFonts w:ascii="Aptos" w:hAnsi="Aptos" w:cstheme="minorHAnsi"/>
          <w:b/>
          <w:sz w:val="21"/>
          <w:szCs w:val="21"/>
        </w:rPr>
        <w:t>OBVEZNE BILJEŠKE UZ BILANCU</w:t>
      </w:r>
    </w:p>
    <w:p w14:paraId="6D8C04B9" w14:textId="77777777" w:rsidR="007301E6" w:rsidRDefault="000B478E" w:rsidP="007301E6">
      <w:pPr>
        <w:spacing w:before="60" w:after="60"/>
        <w:ind w:left="-425" w:right="-380" w:firstLine="284"/>
        <w:jc w:val="both"/>
        <w:rPr>
          <w:rFonts w:ascii="Aptos" w:hAnsi="Aptos" w:cstheme="minorHAnsi"/>
          <w:sz w:val="21"/>
          <w:szCs w:val="21"/>
        </w:rPr>
      </w:pPr>
      <w:r w:rsidRPr="000B478E">
        <w:rPr>
          <w:rFonts w:ascii="Aptos" w:hAnsi="Aptos" w:cstheme="minorHAnsi"/>
          <w:sz w:val="21"/>
          <w:szCs w:val="21"/>
        </w:rPr>
        <w:t>Obvezne Bilje</w:t>
      </w:r>
      <w:r w:rsidRPr="000B478E">
        <w:rPr>
          <w:rFonts w:ascii="Aptos" w:hAnsi="Aptos" w:cstheme="minorHAnsi" w:hint="eastAsia"/>
          <w:sz w:val="21"/>
          <w:szCs w:val="21"/>
        </w:rPr>
        <w:t>š</w:t>
      </w:r>
      <w:r w:rsidRPr="000B478E">
        <w:rPr>
          <w:rFonts w:ascii="Aptos" w:hAnsi="Aptos" w:cstheme="minorHAnsi"/>
          <w:sz w:val="21"/>
          <w:szCs w:val="21"/>
        </w:rPr>
        <w:t xml:space="preserve">ke uz Bilancu </w:t>
      </w:r>
      <w:r w:rsidR="004D21C7">
        <w:rPr>
          <w:rFonts w:ascii="Aptos" w:hAnsi="Aptos" w:cstheme="minorHAnsi"/>
          <w:sz w:val="21"/>
          <w:szCs w:val="21"/>
        </w:rPr>
        <w:t>obuhvaćaju p</w:t>
      </w:r>
      <w:r w:rsidRPr="000B478E">
        <w:rPr>
          <w:rFonts w:ascii="Aptos" w:hAnsi="Aptos" w:cstheme="minorHAnsi"/>
          <w:sz w:val="21"/>
          <w:szCs w:val="21"/>
        </w:rPr>
        <w:t>opis ugovornih odnosa i sli</w:t>
      </w:r>
      <w:r w:rsidRPr="000B478E">
        <w:rPr>
          <w:rFonts w:ascii="Aptos" w:hAnsi="Aptos" w:cstheme="minorHAnsi" w:hint="eastAsia"/>
          <w:sz w:val="21"/>
          <w:szCs w:val="21"/>
        </w:rPr>
        <w:t>č</w:t>
      </w:r>
      <w:r w:rsidRPr="000B478E">
        <w:rPr>
          <w:rFonts w:ascii="Aptos" w:hAnsi="Aptos" w:cstheme="minorHAnsi"/>
          <w:sz w:val="21"/>
          <w:szCs w:val="21"/>
        </w:rPr>
        <w:t>no koji uz ispunjenje</w:t>
      </w:r>
      <w:r w:rsidR="004D21C7">
        <w:rPr>
          <w:rFonts w:ascii="Aptos" w:hAnsi="Aptos" w:cstheme="minorHAnsi"/>
          <w:sz w:val="21"/>
          <w:szCs w:val="21"/>
        </w:rPr>
        <w:t xml:space="preserve"> </w:t>
      </w:r>
      <w:r w:rsidRPr="000B478E">
        <w:rPr>
          <w:rFonts w:ascii="Aptos" w:hAnsi="Aptos" w:cstheme="minorHAnsi"/>
          <w:sz w:val="21"/>
          <w:szCs w:val="21"/>
        </w:rPr>
        <w:t>odre</w:t>
      </w:r>
      <w:r w:rsidRPr="000B478E">
        <w:rPr>
          <w:rFonts w:ascii="Aptos" w:hAnsi="Aptos" w:cstheme="minorHAnsi" w:hint="eastAsia"/>
          <w:sz w:val="21"/>
          <w:szCs w:val="21"/>
        </w:rPr>
        <w:t>đ</w:t>
      </w:r>
      <w:r w:rsidRPr="000B478E">
        <w:rPr>
          <w:rFonts w:ascii="Aptos" w:hAnsi="Aptos" w:cstheme="minorHAnsi"/>
          <w:sz w:val="21"/>
          <w:szCs w:val="21"/>
        </w:rPr>
        <w:t>enih uvjeta, mogu postati obveza ili imovina (dana</w:t>
      </w:r>
      <w:r w:rsidR="004D21C7">
        <w:rPr>
          <w:rFonts w:ascii="Aptos" w:hAnsi="Aptos" w:cstheme="minorHAnsi"/>
          <w:sz w:val="21"/>
          <w:szCs w:val="21"/>
        </w:rPr>
        <w:t xml:space="preserve"> </w:t>
      </w:r>
      <w:r w:rsidRPr="000B478E">
        <w:rPr>
          <w:rFonts w:ascii="Aptos" w:hAnsi="Aptos" w:cstheme="minorHAnsi"/>
          <w:sz w:val="21"/>
          <w:szCs w:val="21"/>
        </w:rPr>
        <w:t>kreditna pisma, hipoteke i sli</w:t>
      </w:r>
      <w:r w:rsidRPr="000B478E">
        <w:rPr>
          <w:rFonts w:ascii="Aptos" w:hAnsi="Aptos" w:cstheme="minorHAnsi" w:hint="eastAsia"/>
          <w:sz w:val="21"/>
          <w:szCs w:val="21"/>
        </w:rPr>
        <w:t>č</w:t>
      </w:r>
      <w:r w:rsidRPr="000B478E">
        <w:rPr>
          <w:rFonts w:ascii="Aptos" w:hAnsi="Aptos" w:cstheme="minorHAnsi"/>
          <w:sz w:val="21"/>
          <w:szCs w:val="21"/>
        </w:rPr>
        <w:t>no) i</w:t>
      </w:r>
      <w:r w:rsidR="004D21C7">
        <w:rPr>
          <w:rFonts w:ascii="Aptos" w:hAnsi="Aptos" w:cstheme="minorHAnsi"/>
          <w:sz w:val="21"/>
          <w:szCs w:val="21"/>
        </w:rPr>
        <w:t xml:space="preserve"> p</w:t>
      </w:r>
      <w:r w:rsidRPr="000B478E">
        <w:rPr>
          <w:rFonts w:ascii="Aptos" w:hAnsi="Aptos" w:cstheme="minorHAnsi"/>
          <w:sz w:val="21"/>
          <w:szCs w:val="21"/>
        </w:rPr>
        <w:t>opis sudskih sporova u tijeku</w:t>
      </w:r>
      <w:r w:rsidR="007301E6">
        <w:rPr>
          <w:rFonts w:ascii="Aptos" w:hAnsi="Aptos" w:cstheme="minorHAnsi"/>
          <w:sz w:val="21"/>
          <w:szCs w:val="21"/>
        </w:rPr>
        <w:t xml:space="preserve">, a koje se </w:t>
      </w:r>
      <w:r w:rsidRPr="000B478E">
        <w:rPr>
          <w:rFonts w:ascii="Aptos" w:hAnsi="Aptos" w:cstheme="minorHAnsi"/>
          <w:sz w:val="21"/>
          <w:szCs w:val="21"/>
        </w:rPr>
        <w:t>iskazuju u</w:t>
      </w:r>
      <w:r w:rsidR="007301E6">
        <w:rPr>
          <w:rFonts w:ascii="Aptos" w:hAnsi="Aptos" w:cstheme="minorHAnsi"/>
          <w:sz w:val="21"/>
          <w:szCs w:val="21"/>
        </w:rPr>
        <w:t xml:space="preserve"> </w:t>
      </w:r>
      <w:r w:rsidRPr="000B478E">
        <w:rPr>
          <w:rFonts w:ascii="Aptos" w:hAnsi="Aptos" w:cstheme="minorHAnsi"/>
          <w:sz w:val="21"/>
          <w:szCs w:val="21"/>
        </w:rPr>
        <w:t>tablicama.</w:t>
      </w:r>
    </w:p>
    <w:p w14:paraId="712C438E" w14:textId="2F9E0DCA" w:rsidR="00142B5E" w:rsidRDefault="00AB1870" w:rsidP="007301E6">
      <w:pPr>
        <w:spacing w:before="60" w:after="60"/>
        <w:ind w:left="-426" w:right="-380"/>
        <w:jc w:val="both"/>
        <w:rPr>
          <w:rFonts w:ascii="Aptos" w:hAnsi="Aptos" w:cstheme="minorHAnsi"/>
          <w:b/>
          <w:sz w:val="21"/>
          <w:szCs w:val="21"/>
        </w:rPr>
      </w:pPr>
      <w:r w:rsidRPr="007301E6">
        <w:rPr>
          <w:rFonts w:ascii="Aptos" w:hAnsi="Aptos" w:cstheme="minorHAnsi"/>
          <w:b/>
          <w:sz w:val="21"/>
          <w:szCs w:val="21"/>
        </w:rPr>
        <w:t xml:space="preserve">1. Popis ugovornih odnosa i slično </w:t>
      </w:r>
    </w:p>
    <w:tbl>
      <w:tblPr>
        <w:tblW w:w="9356" w:type="dxa"/>
        <w:tblInd w:w="-289" w:type="dxa"/>
        <w:tblLook w:val="04A0" w:firstRow="1" w:lastRow="0" w:firstColumn="1" w:lastColumn="0" w:noHBand="0" w:noVBand="1"/>
      </w:tblPr>
      <w:tblGrid>
        <w:gridCol w:w="555"/>
        <w:gridCol w:w="1696"/>
        <w:gridCol w:w="2376"/>
        <w:gridCol w:w="1089"/>
        <w:gridCol w:w="2223"/>
        <w:gridCol w:w="1417"/>
      </w:tblGrid>
      <w:tr w:rsidR="007301E6" w:rsidRPr="007301E6" w14:paraId="59C2882C" w14:textId="77777777" w:rsidTr="002D70FA">
        <w:trPr>
          <w:cantSplit/>
          <w:trHeight w:val="227"/>
        </w:trPr>
        <w:tc>
          <w:tcPr>
            <w:tcW w:w="555" w:type="dxa"/>
            <w:shd w:val="clear" w:color="auto" w:fill="F2F2F2" w:themeFill="background1" w:themeFillShade="F2"/>
            <w:vAlign w:val="center"/>
            <w:hideMark/>
          </w:tcPr>
          <w:p w14:paraId="15A1164D" w14:textId="77777777" w:rsidR="007301E6" w:rsidRPr="007301E6" w:rsidRDefault="007301E6" w:rsidP="007301E6">
            <w:pPr>
              <w:jc w:val="center"/>
              <w:rPr>
                <w:rFonts w:ascii="Aptos" w:hAnsi="Aptos" w:cs="Arial"/>
                <w:b/>
                <w:bCs/>
                <w:sz w:val="17"/>
                <w:szCs w:val="17"/>
              </w:rPr>
            </w:pPr>
            <w:r w:rsidRPr="007301E6">
              <w:rPr>
                <w:rFonts w:ascii="Aptos" w:hAnsi="Aptos" w:cs="Arial"/>
                <w:b/>
                <w:bCs/>
                <w:sz w:val="17"/>
                <w:szCs w:val="17"/>
              </w:rPr>
              <w:t>RBR</w:t>
            </w:r>
          </w:p>
        </w:tc>
        <w:tc>
          <w:tcPr>
            <w:tcW w:w="1696" w:type="dxa"/>
            <w:shd w:val="clear" w:color="auto" w:fill="F2F2F2" w:themeFill="background1" w:themeFillShade="F2"/>
            <w:vAlign w:val="center"/>
            <w:hideMark/>
          </w:tcPr>
          <w:p w14:paraId="5FE13C45" w14:textId="77777777" w:rsidR="007301E6" w:rsidRPr="007301E6" w:rsidRDefault="007301E6" w:rsidP="007301E6">
            <w:pPr>
              <w:jc w:val="center"/>
              <w:rPr>
                <w:rFonts w:ascii="Aptos" w:hAnsi="Aptos" w:cs="Arial"/>
                <w:b/>
                <w:bCs/>
                <w:sz w:val="17"/>
                <w:szCs w:val="17"/>
              </w:rPr>
            </w:pPr>
            <w:r w:rsidRPr="007301E6">
              <w:rPr>
                <w:rFonts w:ascii="Aptos" w:hAnsi="Aptos" w:cs="Arial"/>
                <w:b/>
                <w:bCs/>
                <w:sz w:val="17"/>
                <w:szCs w:val="17"/>
              </w:rPr>
              <w:t xml:space="preserve"> PRIMATELJ JAMSTVA</w:t>
            </w:r>
          </w:p>
        </w:tc>
        <w:tc>
          <w:tcPr>
            <w:tcW w:w="2376" w:type="dxa"/>
            <w:shd w:val="clear" w:color="auto" w:fill="F2F2F2" w:themeFill="background1" w:themeFillShade="F2"/>
            <w:vAlign w:val="center"/>
            <w:hideMark/>
          </w:tcPr>
          <w:p w14:paraId="5ED21B06" w14:textId="77777777" w:rsidR="007301E6" w:rsidRPr="007301E6" w:rsidRDefault="007301E6" w:rsidP="007301E6">
            <w:pPr>
              <w:jc w:val="center"/>
              <w:rPr>
                <w:rFonts w:ascii="Aptos" w:hAnsi="Aptos" w:cs="Arial"/>
                <w:b/>
                <w:bCs/>
                <w:sz w:val="17"/>
                <w:szCs w:val="17"/>
              </w:rPr>
            </w:pPr>
            <w:r w:rsidRPr="007301E6">
              <w:rPr>
                <w:rFonts w:ascii="Aptos" w:hAnsi="Aptos" w:cs="Arial"/>
                <w:b/>
                <w:bCs/>
                <w:sz w:val="17"/>
                <w:szCs w:val="17"/>
              </w:rPr>
              <w:t>SVRHA JAMSTVA</w:t>
            </w:r>
          </w:p>
        </w:tc>
        <w:tc>
          <w:tcPr>
            <w:tcW w:w="1089" w:type="dxa"/>
            <w:shd w:val="clear" w:color="auto" w:fill="F2F2F2" w:themeFill="background1" w:themeFillShade="F2"/>
            <w:vAlign w:val="center"/>
            <w:hideMark/>
          </w:tcPr>
          <w:p w14:paraId="3D63ADF7" w14:textId="77777777" w:rsidR="007301E6" w:rsidRPr="007301E6" w:rsidRDefault="007301E6" w:rsidP="007301E6">
            <w:pPr>
              <w:jc w:val="center"/>
              <w:rPr>
                <w:rFonts w:ascii="Aptos" w:hAnsi="Aptos" w:cs="Arial"/>
                <w:b/>
                <w:bCs/>
                <w:sz w:val="17"/>
                <w:szCs w:val="17"/>
              </w:rPr>
            </w:pPr>
            <w:r w:rsidRPr="007301E6">
              <w:rPr>
                <w:rFonts w:ascii="Aptos" w:hAnsi="Aptos" w:cs="Arial"/>
                <w:b/>
                <w:bCs/>
                <w:sz w:val="17"/>
                <w:szCs w:val="17"/>
              </w:rPr>
              <w:t>DATUM IZDAVANJA</w:t>
            </w:r>
          </w:p>
        </w:tc>
        <w:tc>
          <w:tcPr>
            <w:tcW w:w="2223" w:type="dxa"/>
            <w:shd w:val="clear" w:color="auto" w:fill="F2F2F2" w:themeFill="background1" w:themeFillShade="F2"/>
            <w:vAlign w:val="center"/>
            <w:hideMark/>
          </w:tcPr>
          <w:p w14:paraId="3415AF14" w14:textId="77777777" w:rsidR="007301E6" w:rsidRPr="007301E6" w:rsidRDefault="007301E6" w:rsidP="007301E6">
            <w:pPr>
              <w:jc w:val="center"/>
              <w:rPr>
                <w:rFonts w:ascii="Aptos" w:hAnsi="Aptos" w:cs="Arial"/>
                <w:b/>
                <w:bCs/>
                <w:sz w:val="17"/>
                <w:szCs w:val="17"/>
              </w:rPr>
            </w:pPr>
            <w:r w:rsidRPr="007301E6">
              <w:rPr>
                <w:rFonts w:ascii="Aptos" w:hAnsi="Aptos" w:cs="Arial"/>
                <w:b/>
                <w:bCs/>
                <w:sz w:val="17"/>
                <w:szCs w:val="17"/>
              </w:rPr>
              <w:t xml:space="preserve">VRSTA INSTRUMENTA </w:t>
            </w:r>
          </w:p>
        </w:tc>
        <w:tc>
          <w:tcPr>
            <w:tcW w:w="1417" w:type="dxa"/>
            <w:shd w:val="clear" w:color="auto" w:fill="F2F2F2" w:themeFill="background1" w:themeFillShade="F2"/>
            <w:vAlign w:val="center"/>
            <w:hideMark/>
          </w:tcPr>
          <w:p w14:paraId="40175271" w14:textId="77777777" w:rsidR="007301E6" w:rsidRPr="007301E6" w:rsidRDefault="007301E6" w:rsidP="007301E6">
            <w:pPr>
              <w:jc w:val="center"/>
              <w:rPr>
                <w:rFonts w:ascii="Aptos" w:hAnsi="Aptos" w:cs="Arial"/>
                <w:b/>
                <w:bCs/>
                <w:sz w:val="17"/>
                <w:szCs w:val="17"/>
              </w:rPr>
            </w:pPr>
            <w:r w:rsidRPr="007301E6">
              <w:rPr>
                <w:rFonts w:ascii="Aptos" w:hAnsi="Aptos" w:cs="Arial"/>
                <w:b/>
                <w:bCs/>
                <w:sz w:val="17"/>
                <w:szCs w:val="17"/>
              </w:rPr>
              <w:t>IZNOS U €</w:t>
            </w:r>
          </w:p>
        </w:tc>
      </w:tr>
      <w:tr w:rsidR="007301E6" w:rsidRPr="007301E6" w14:paraId="1EB928BA" w14:textId="77777777" w:rsidTr="002D70FA">
        <w:trPr>
          <w:cantSplit/>
          <w:trHeight w:val="57"/>
        </w:trPr>
        <w:tc>
          <w:tcPr>
            <w:tcW w:w="555" w:type="dxa"/>
            <w:vAlign w:val="center"/>
            <w:hideMark/>
          </w:tcPr>
          <w:p w14:paraId="16EEF8FF"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1.</w:t>
            </w:r>
          </w:p>
        </w:tc>
        <w:tc>
          <w:tcPr>
            <w:tcW w:w="1696" w:type="dxa"/>
            <w:vAlign w:val="center"/>
            <w:hideMark/>
          </w:tcPr>
          <w:p w14:paraId="68D30F86"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HEP opskrba d.o.o. Zagreb</w:t>
            </w:r>
          </w:p>
        </w:tc>
        <w:tc>
          <w:tcPr>
            <w:tcW w:w="2376" w:type="dxa"/>
            <w:vAlign w:val="center"/>
            <w:hideMark/>
          </w:tcPr>
          <w:p w14:paraId="04076D10"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Ugovor o opskrbi el. energijom povlaštenog kupca</w:t>
            </w:r>
          </w:p>
        </w:tc>
        <w:tc>
          <w:tcPr>
            <w:tcW w:w="1089" w:type="dxa"/>
            <w:vAlign w:val="center"/>
            <w:hideMark/>
          </w:tcPr>
          <w:p w14:paraId="2BEFA913"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16.11.2009.</w:t>
            </w:r>
          </w:p>
        </w:tc>
        <w:tc>
          <w:tcPr>
            <w:tcW w:w="2223" w:type="dxa"/>
            <w:vAlign w:val="center"/>
            <w:hideMark/>
          </w:tcPr>
          <w:p w14:paraId="24360277"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Bjanko zadužnica</w:t>
            </w:r>
          </w:p>
        </w:tc>
        <w:tc>
          <w:tcPr>
            <w:tcW w:w="1417" w:type="dxa"/>
            <w:vAlign w:val="center"/>
            <w:hideMark/>
          </w:tcPr>
          <w:p w14:paraId="4A78FE1B"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13.272,28 €</w:t>
            </w:r>
          </w:p>
        </w:tc>
      </w:tr>
      <w:tr w:rsidR="007301E6" w:rsidRPr="007301E6" w14:paraId="0DE245B6" w14:textId="77777777" w:rsidTr="002D70FA">
        <w:trPr>
          <w:cantSplit/>
          <w:trHeight w:val="543"/>
        </w:trPr>
        <w:tc>
          <w:tcPr>
            <w:tcW w:w="555" w:type="dxa"/>
            <w:vAlign w:val="center"/>
            <w:hideMark/>
          </w:tcPr>
          <w:p w14:paraId="405C3605"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2.</w:t>
            </w:r>
          </w:p>
        </w:tc>
        <w:tc>
          <w:tcPr>
            <w:tcW w:w="1696" w:type="dxa"/>
            <w:vAlign w:val="center"/>
            <w:hideMark/>
          </w:tcPr>
          <w:p w14:paraId="2C913E7A"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INA d.d. Zagreb</w:t>
            </w:r>
          </w:p>
        </w:tc>
        <w:tc>
          <w:tcPr>
            <w:tcW w:w="2376" w:type="dxa"/>
            <w:vAlign w:val="center"/>
            <w:hideMark/>
          </w:tcPr>
          <w:p w14:paraId="5B168DEF"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Ugovor o korištenju kreditne INA kartice</w:t>
            </w:r>
          </w:p>
        </w:tc>
        <w:tc>
          <w:tcPr>
            <w:tcW w:w="1089" w:type="dxa"/>
            <w:vAlign w:val="center"/>
            <w:hideMark/>
          </w:tcPr>
          <w:p w14:paraId="0B4FEBD5"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11.06.2013.</w:t>
            </w:r>
          </w:p>
        </w:tc>
        <w:tc>
          <w:tcPr>
            <w:tcW w:w="2223" w:type="dxa"/>
            <w:vAlign w:val="center"/>
            <w:hideMark/>
          </w:tcPr>
          <w:p w14:paraId="14171456"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Bjanko zadužnica</w:t>
            </w:r>
            <w:r w:rsidRPr="007301E6">
              <w:rPr>
                <w:rFonts w:ascii="Aptos" w:hAnsi="Aptos" w:cs="Arial"/>
                <w:sz w:val="17"/>
                <w:szCs w:val="17"/>
              </w:rPr>
              <w:br/>
              <w:t>OV-5421/2013 od 11.06.2013.</w:t>
            </w:r>
          </w:p>
        </w:tc>
        <w:tc>
          <w:tcPr>
            <w:tcW w:w="1417" w:type="dxa"/>
            <w:vAlign w:val="center"/>
            <w:hideMark/>
          </w:tcPr>
          <w:p w14:paraId="7D35A405"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6.636,14 €</w:t>
            </w:r>
          </w:p>
        </w:tc>
      </w:tr>
      <w:tr w:rsidR="007301E6" w:rsidRPr="007301E6" w14:paraId="43B3602F" w14:textId="77777777" w:rsidTr="002D70FA">
        <w:trPr>
          <w:cantSplit/>
          <w:trHeight w:val="554"/>
        </w:trPr>
        <w:tc>
          <w:tcPr>
            <w:tcW w:w="555" w:type="dxa"/>
            <w:vAlign w:val="center"/>
            <w:hideMark/>
          </w:tcPr>
          <w:p w14:paraId="3C990E31"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3.</w:t>
            </w:r>
          </w:p>
        </w:tc>
        <w:tc>
          <w:tcPr>
            <w:tcW w:w="1696" w:type="dxa"/>
            <w:vAlign w:val="center"/>
            <w:hideMark/>
          </w:tcPr>
          <w:p w14:paraId="56C234AF"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Hrvatska banka za obnovu i razvitak</w:t>
            </w:r>
          </w:p>
        </w:tc>
        <w:tc>
          <w:tcPr>
            <w:tcW w:w="2376" w:type="dxa"/>
            <w:vAlign w:val="center"/>
            <w:hideMark/>
          </w:tcPr>
          <w:p w14:paraId="736BF0F7"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Ugovor o kreditu HBOR-GKD Dobra</w:t>
            </w:r>
          </w:p>
        </w:tc>
        <w:tc>
          <w:tcPr>
            <w:tcW w:w="1089" w:type="dxa"/>
            <w:vAlign w:val="center"/>
            <w:hideMark/>
          </w:tcPr>
          <w:p w14:paraId="0F083A4E"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29.08.2017.</w:t>
            </w:r>
          </w:p>
        </w:tc>
        <w:tc>
          <w:tcPr>
            <w:tcW w:w="2223" w:type="dxa"/>
            <w:vAlign w:val="center"/>
            <w:hideMark/>
          </w:tcPr>
          <w:p w14:paraId="49B17E81"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Jamstvo</w:t>
            </w:r>
          </w:p>
        </w:tc>
        <w:tc>
          <w:tcPr>
            <w:tcW w:w="1417" w:type="dxa"/>
            <w:vAlign w:val="center"/>
            <w:hideMark/>
          </w:tcPr>
          <w:p w14:paraId="243C9881"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189.537,20 €</w:t>
            </w:r>
          </w:p>
        </w:tc>
      </w:tr>
      <w:tr w:rsidR="007301E6" w:rsidRPr="007301E6" w14:paraId="19882339" w14:textId="77777777" w:rsidTr="002D70FA">
        <w:trPr>
          <w:cantSplit/>
          <w:trHeight w:val="548"/>
        </w:trPr>
        <w:tc>
          <w:tcPr>
            <w:tcW w:w="555" w:type="dxa"/>
            <w:vAlign w:val="center"/>
            <w:hideMark/>
          </w:tcPr>
          <w:p w14:paraId="537DC450"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4.</w:t>
            </w:r>
          </w:p>
        </w:tc>
        <w:tc>
          <w:tcPr>
            <w:tcW w:w="1696" w:type="dxa"/>
            <w:vAlign w:val="center"/>
            <w:hideMark/>
          </w:tcPr>
          <w:p w14:paraId="1AE117B8"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Hrvatska banka za obnovu i razvitak</w:t>
            </w:r>
          </w:p>
        </w:tc>
        <w:tc>
          <w:tcPr>
            <w:tcW w:w="2376" w:type="dxa"/>
            <w:vAlign w:val="center"/>
            <w:hideMark/>
          </w:tcPr>
          <w:p w14:paraId="48579B7A"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Ugovor o kreditu</w:t>
            </w:r>
            <w:r w:rsidRPr="007301E6">
              <w:rPr>
                <w:rFonts w:ascii="Aptos" w:hAnsi="Aptos" w:cs="Arial"/>
                <w:sz w:val="17"/>
                <w:szCs w:val="17"/>
              </w:rPr>
              <w:br/>
              <w:t>javna rasvjeta</w:t>
            </w:r>
          </w:p>
        </w:tc>
        <w:tc>
          <w:tcPr>
            <w:tcW w:w="1089" w:type="dxa"/>
            <w:vAlign w:val="center"/>
            <w:hideMark/>
          </w:tcPr>
          <w:p w14:paraId="63F4628C"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02.06.2020.</w:t>
            </w:r>
          </w:p>
        </w:tc>
        <w:tc>
          <w:tcPr>
            <w:tcW w:w="2223" w:type="dxa"/>
            <w:vAlign w:val="center"/>
            <w:hideMark/>
          </w:tcPr>
          <w:p w14:paraId="31757CC9"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Zadužnica OV-2899/2020 od 08.06.2020.</w:t>
            </w:r>
          </w:p>
        </w:tc>
        <w:tc>
          <w:tcPr>
            <w:tcW w:w="1417" w:type="dxa"/>
            <w:vAlign w:val="center"/>
            <w:hideMark/>
          </w:tcPr>
          <w:p w14:paraId="700561DC"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769.792,29 €</w:t>
            </w:r>
          </w:p>
        </w:tc>
      </w:tr>
      <w:tr w:rsidR="007301E6" w:rsidRPr="007301E6" w14:paraId="51C8B02F" w14:textId="77777777" w:rsidTr="002D70FA">
        <w:trPr>
          <w:cantSplit/>
          <w:trHeight w:val="629"/>
        </w:trPr>
        <w:tc>
          <w:tcPr>
            <w:tcW w:w="555" w:type="dxa"/>
            <w:vAlign w:val="center"/>
            <w:hideMark/>
          </w:tcPr>
          <w:p w14:paraId="16BBF449"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5.</w:t>
            </w:r>
          </w:p>
        </w:tc>
        <w:tc>
          <w:tcPr>
            <w:tcW w:w="1696" w:type="dxa"/>
            <w:vAlign w:val="center"/>
            <w:hideMark/>
          </w:tcPr>
          <w:p w14:paraId="43975F4C"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INA d.d. Kostrena</w:t>
            </w:r>
          </w:p>
        </w:tc>
        <w:tc>
          <w:tcPr>
            <w:tcW w:w="2376" w:type="dxa"/>
            <w:vAlign w:val="center"/>
            <w:hideMark/>
          </w:tcPr>
          <w:p w14:paraId="212FCB17"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Korištenje malog spremnika i prodaja UNP</w:t>
            </w:r>
          </w:p>
        </w:tc>
        <w:tc>
          <w:tcPr>
            <w:tcW w:w="1089" w:type="dxa"/>
            <w:vAlign w:val="center"/>
            <w:hideMark/>
          </w:tcPr>
          <w:p w14:paraId="418EFB16"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20.02.2023.</w:t>
            </w:r>
          </w:p>
        </w:tc>
        <w:tc>
          <w:tcPr>
            <w:tcW w:w="2223" w:type="dxa"/>
            <w:vAlign w:val="center"/>
            <w:hideMark/>
          </w:tcPr>
          <w:p w14:paraId="25434AA5"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Bjanko zadužnica</w:t>
            </w:r>
            <w:r w:rsidRPr="007301E6">
              <w:rPr>
                <w:rFonts w:ascii="Aptos" w:hAnsi="Aptos" w:cs="Arial"/>
                <w:sz w:val="17"/>
                <w:szCs w:val="17"/>
              </w:rPr>
              <w:br/>
              <w:t>OV-988/2023 od 21.02.2023.</w:t>
            </w:r>
          </w:p>
        </w:tc>
        <w:tc>
          <w:tcPr>
            <w:tcW w:w="1417" w:type="dxa"/>
            <w:vAlign w:val="center"/>
            <w:hideMark/>
          </w:tcPr>
          <w:p w14:paraId="2BD627FC"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10.000,00 €</w:t>
            </w:r>
          </w:p>
        </w:tc>
      </w:tr>
      <w:tr w:rsidR="007301E6" w:rsidRPr="007301E6" w14:paraId="30996210" w14:textId="77777777" w:rsidTr="002D70FA">
        <w:trPr>
          <w:cantSplit/>
          <w:trHeight w:val="1080"/>
        </w:trPr>
        <w:tc>
          <w:tcPr>
            <w:tcW w:w="555" w:type="dxa"/>
            <w:vAlign w:val="center"/>
            <w:hideMark/>
          </w:tcPr>
          <w:p w14:paraId="1B1BD969"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6.</w:t>
            </w:r>
          </w:p>
        </w:tc>
        <w:tc>
          <w:tcPr>
            <w:tcW w:w="1696" w:type="dxa"/>
            <w:vAlign w:val="center"/>
            <w:hideMark/>
          </w:tcPr>
          <w:p w14:paraId="16705EEC"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Ministarstvo turizma i sporta</w:t>
            </w:r>
          </w:p>
        </w:tc>
        <w:tc>
          <w:tcPr>
            <w:tcW w:w="2376" w:type="dxa"/>
            <w:vAlign w:val="center"/>
            <w:hideMark/>
          </w:tcPr>
          <w:p w14:paraId="6FF64C0A"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Provedba projekta Poboljšanje uvjeta travnjaka na nogometnom igralištu NK Borac Bakar</w:t>
            </w:r>
          </w:p>
        </w:tc>
        <w:tc>
          <w:tcPr>
            <w:tcW w:w="1089" w:type="dxa"/>
            <w:vAlign w:val="center"/>
            <w:hideMark/>
          </w:tcPr>
          <w:p w14:paraId="56D00056"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23.04.2024.</w:t>
            </w:r>
          </w:p>
        </w:tc>
        <w:tc>
          <w:tcPr>
            <w:tcW w:w="2223" w:type="dxa"/>
            <w:vAlign w:val="center"/>
            <w:hideMark/>
          </w:tcPr>
          <w:p w14:paraId="04A9C1E1"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Bjanko zadužnica OV-2843/2024 od 23.04.2024.</w:t>
            </w:r>
          </w:p>
        </w:tc>
        <w:tc>
          <w:tcPr>
            <w:tcW w:w="1417" w:type="dxa"/>
            <w:vAlign w:val="center"/>
            <w:hideMark/>
          </w:tcPr>
          <w:p w14:paraId="5CF7FC5D"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150.000,00 €</w:t>
            </w:r>
          </w:p>
        </w:tc>
      </w:tr>
      <w:tr w:rsidR="007301E6" w:rsidRPr="007301E6" w14:paraId="4F95A07D" w14:textId="77777777" w:rsidTr="002D70FA">
        <w:trPr>
          <w:cantSplit/>
          <w:trHeight w:val="736"/>
        </w:trPr>
        <w:tc>
          <w:tcPr>
            <w:tcW w:w="555" w:type="dxa"/>
            <w:vAlign w:val="center"/>
            <w:hideMark/>
          </w:tcPr>
          <w:p w14:paraId="0753D755"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7.</w:t>
            </w:r>
          </w:p>
        </w:tc>
        <w:tc>
          <w:tcPr>
            <w:tcW w:w="1696" w:type="dxa"/>
            <w:vAlign w:val="center"/>
            <w:hideMark/>
          </w:tcPr>
          <w:p w14:paraId="3678915A"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Ministarstvo turizma i sporta</w:t>
            </w:r>
          </w:p>
        </w:tc>
        <w:tc>
          <w:tcPr>
            <w:tcW w:w="2376" w:type="dxa"/>
            <w:vAlign w:val="center"/>
            <w:hideMark/>
          </w:tcPr>
          <w:p w14:paraId="4A6CE962"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Provedba projekta Poboljšanje uvjeta travnjaka na nogometnom igralištu NK Borac Bakar</w:t>
            </w:r>
          </w:p>
        </w:tc>
        <w:tc>
          <w:tcPr>
            <w:tcW w:w="1089" w:type="dxa"/>
            <w:vAlign w:val="center"/>
            <w:hideMark/>
          </w:tcPr>
          <w:p w14:paraId="4F423D93"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23.04.2024.</w:t>
            </w:r>
          </w:p>
        </w:tc>
        <w:tc>
          <w:tcPr>
            <w:tcW w:w="2223" w:type="dxa"/>
            <w:vAlign w:val="center"/>
            <w:hideMark/>
          </w:tcPr>
          <w:p w14:paraId="3B411C99"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Bjanko zadužnica OV-2844/2024 od 23.04.2024.</w:t>
            </w:r>
          </w:p>
        </w:tc>
        <w:tc>
          <w:tcPr>
            <w:tcW w:w="1417" w:type="dxa"/>
            <w:vAlign w:val="center"/>
            <w:hideMark/>
          </w:tcPr>
          <w:p w14:paraId="441AB4C4"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75.000,00 €</w:t>
            </w:r>
          </w:p>
        </w:tc>
      </w:tr>
      <w:tr w:rsidR="007301E6" w:rsidRPr="007301E6" w14:paraId="136CA9A7" w14:textId="77777777" w:rsidTr="002D70FA">
        <w:trPr>
          <w:cantSplit/>
          <w:trHeight w:val="583"/>
        </w:trPr>
        <w:tc>
          <w:tcPr>
            <w:tcW w:w="555" w:type="dxa"/>
            <w:vAlign w:val="center"/>
            <w:hideMark/>
          </w:tcPr>
          <w:p w14:paraId="3A3ABAB8"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8.</w:t>
            </w:r>
          </w:p>
        </w:tc>
        <w:tc>
          <w:tcPr>
            <w:tcW w:w="1696" w:type="dxa"/>
            <w:vAlign w:val="center"/>
            <w:hideMark/>
          </w:tcPr>
          <w:p w14:paraId="7A1A007A"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INA d.d. Rijeka</w:t>
            </w:r>
          </w:p>
        </w:tc>
        <w:tc>
          <w:tcPr>
            <w:tcW w:w="2376" w:type="dxa"/>
            <w:vAlign w:val="center"/>
            <w:hideMark/>
          </w:tcPr>
          <w:p w14:paraId="52914E24"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Najam podzemnog spremnika za lokaciju igrališta NK Borac Bakar</w:t>
            </w:r>
          </w:p>
        </w:tc>
        <w:tc>
          <w:tcPr>
            <w:tcW w:w="1089" w:type="dxa"/>
            <w:vAlign w:val="center"/>
            <w:hideMark/>
          </w:tcPr>
          <w:p w14:paraId="2B6FA4CE"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24.10.2024.</w:t>
            </w:r>
          </w:p>
        </w:tc>
        <w:tc>
          <w:tcPr>
            <w:tcW w:w="2223" w:type="dxa"/>
            <w:vAlign w:val="center"/>
            <w:hideMark/>
          </w:tcPr>
          <w:p w14:paraId="7512319F" w14:textId="77777777" w:rsidR="007301E6" w:rsidRPr="007301E6" w:rsidRDefault="007301E6" w:rsidP="007301E6">
            <w:pPr>
              <w:jc w:val="center"/>
              <w:rPr>
                <w:rFonts w:ascii="Aptos" w:hAnsi="Aptos" w:cs="Arial"/>
                <w:sz w:val="17"/>
                <w:szCs w:val="17"/>
              </w:rPr>
            </w:pPr>
            <w:r w:rsidRPr="007301E6">
              <w:rPr>
                <w:rFonts w:ascii="Aptos" w:hAnsi="Aptos" w:cs="Arial"/>
                <w:sz w:val="17"/>
                <w:szCs w:val="17"/>
              </w:rPr>
              <w:t>Bjanko zadužnica OV-7509/2024 od 24.10.2024.</w:t>
            </w:r>
          </w:p>
        </w:tc>
        <w:tc>
          <w:tcPr>
            <w:tcW w:w="1417" w:type="dxa"/>
            <w:vAlign w:val="center"/>
            <w:hideMark/>
          </w:tcPr>
          <w:p w14:paraId="58962740" w14:textId="77777777" w:rsidR="007301E6" w:rsidRPr="007301E6" w:rsidRDefault="007301E6" w:rsidP="007301E6">
            <w:pPr>
              <w:jc w:val="right"/>
              <w:rPr>
                <w:rFonts w:ascii="Aptos" w:hAnsi="Aptos" w:cs="Arial"/>
                <w:sz w:val="17"/>
                <w:szCs w:val="17"/>
              </w:rPr>
            </w:pPr>
            <w:r w:rsidRPr="007301E6">
              <w:rPr>
                <w:rFonts w:ascii="Aptos" w:hAnsi="Aptos" w:cs="Arial"/>
                <w:sz w:val="17"/>
                <w:szCs w:val="17"/>
              </w:rPr>
              <w:t>10.000,00 €</w:t>
            </w:r>
          </w:p>
        </w:tc>
      </w:tr>
      <w:tr w:rsidR="007301E6" w:rsidRPr="007301E6" w14:paraId="14E54444" w14:textId="77777777" w:rsidTr="002D70FA">
        <w:trPr>
          <w:cantSplit/>
          <w:trHeight w:val="432"/>
        </w:trPr>
        <w:tc>
          <w:tcPr>
            <w:tcW w:w="7939" w:type="dxa"/>
            <w:gridSpan w:val="5"/>
            <w:shd w:val="clear" w:color="auto" w:fill="F2F2F2" w:themeFill="background1" w:themeFillShade="F2"/>
            <w:vAlign w:val="center"/>
            <w:hideMark/>
          </w:tcPr>
          <w:p w14:paraId="4AB5389E" w14:textId="77777777" w:rsidR="007301E6" w:rsidRPr="007301E6" w:rsidRDefault="007301E6" w:rsidP="007301E6">
            <w:pPr>
              <w:jc w:val="right"/>
              <w:rPr>
                <w:rFonts w:ascii="Aptos" w:hAnsi="Aptos" w:cs="Arial"/>
                <w:b/>
                <w:bCs/>
                <w:sz w:val="17"/>
                <w:szCs w:val="17"/>
              </w:rPr>
            </w:pPr>
            <w:r w:rsidRPr="007301E6">
              <w:rPr>
                <w:rFonts w:ascii="Aptos" w:hAnsi="Aptos" w:cs="Arial"/>
                <w:b/>
                <w:bCs/>
                <w:sz w:val="17"/>
                <w:szCs w:val="17"/>
              </w:rPr>
              <w:t>UKUPNO</w:t>
            </w:r>
          </w:p>
        </w:tc>
        <w:tc>
          <w:tcPr>
            <w:tcW w:w="1417" w:type="dxa"/>
            <w:shd w:val="clear" w:color="auto" w:fill="F2F2F2" w:themeFill="background1" w:themeFillShade="F2"/>
            <w:vAlign w:val="center"/>
            <w:hideMark/>
          </w:tcPr>
          <w:p w14:paraId="2127F4C1" w14:textId="77777777" w:rsidR="007301E6" w:rsidRPr="007301E6" w:rsidRDefault="007301E6" w:rsidP="007301E6">
            <w:pPr>
              <w:jc w:val="right"/>
              <w:rPr>
                <w:rFonts w:ascii="Aptos" w:hAnsi="Aptos" w:cs="Arial"/>
                <w:b/>
                <w:bCs/>
                <w:sz w:val="17"/>
                <w:szCs w:val="17"/>
              </w:rPr>
            </w:pPr>
            <w:r w:rsidRPr="007301E6">
              <w:rPr>
                <w:rFonts w:ascii="Aptos" w:hAnsi="Aptos" w:cs="Arial"/>
                <w:b/>
                <w:bCs/>
                <w:sz w:val="17"/>
                <w:szCs w:val="17"/>
              </w:rPr>
              <w:t>1.224.237,91 €</w:t>
            </w:r>
          </w:p>
        </w:tc>
      </w:tr>
    </w:tbl>
    <w:p w14:paraId="0070F549" w14:textId="77777777" w:rsidR="0080686B" w:rsidRDefault="0080686B" w:rsidP="0080686B">
      <w:pPr>
        <w:spacing w:before="60" w:after="60"/>
        <w:ind w:right="-380"/>
        <w:jc w:val="both"/>
        <w:rPr>
          <w:rFonts w:ascii="Aptos" w:hAnsi="Aptos" w:cstheme="minorHAnsi"/>
          <w:sz w:val="21"/>
          <w:szCs w:val="21"/>
        </w:rPr>
      </w:pPr>
    </w:p>
    <w:p w14:paraId="4C6B914A" w14:textId="23513152" w:rsidR="009743EF" w:rsidRPr="00DD01B2" w:rsidRDefault="009743EF" w:rsidP="0080686B">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Osim izdanih vrijednosnih papira i drugih financijskih instrumenata, vodi se evidencija i primljenih instrumenta osiguranja plaćanja od strane pravnih</w:t>
      </w:r>
      <w:r w:rsidR="001A020D" w:rsidRPr="00DD01B2">
        <w:rPr>
          <w:rFonts w:ascii="Aptos" w:hAnsi="Aptos" w:cstheme="minorHAnsi"/>
          <w:sz w:val="21"/>
          <w:szCs w:val="21"/>
        </w:rPr>
        <w:t xml:space="preserve"> i fizičkih</w:t>
      </w:r>
      <w:r w:rsidRPr="00DD01B2">
        <w:rPr>
          <w:rFonts w:ascii="Aptos" w:hAnsi="Aptos" w:cstheme="minorHAnsi"/>
          <w:sz w:val="21"/>
          <w:szCs w:val="21"/>
        </w:rPr>
        <w:t xml:space="preserve"> osoba kao sredstvo osiguranja naplate potraživanja, izvođenja radova i usluga ili ispunjenja ostalih ugovornih obveza, a njihova vrijednost na dan 31.12.202</w:t>
      </w:r>
      <w:r w:rsidR="002D70FA">
        <w:rPr>
          <w:rFonts w:ascii="Aptos" w:hAnsi="Aptos" w:cstheme="minorHAnsi"/>
          <w:sz w:val="21"/>
          <w:szCs w:val="21"/>
        </w:rPr>
        <w:t>5</w:t>
      </w:r>
      <w:r w:rsidRPr="00DD01B2">
        <w:rPr>
          <w:rFonts w:ascii="Aptos" w:hAnsi="Aptos" w:cstheme="minorHAnsi"/>
          <w:sz w:val="21"/>
          <w:szCs w:val="21"/>
        </w:rPr>
        <w:t xml:space="preserve">. godine iznosi </w:t>
      </w:r>
      <w:r w:rsidR="002D70FA">
        <w:rPr>
          <w:rFonts w:ascii="Aptos" w:hAnsi="Aptos" w:cstheme="minorHAnsi"/>
          <w:sz w:val="21"/>
          <w:szCs w:val="21"/>
        </w:rPr>
        <w:t>5.821.950,96</w:t>
      </w:r>
      <w:r w:rsidRPr="00DD01B2">
        <w:rPr>
          <w:rFonts w:ascii="Aptos" w:hAnsi="Aptos" w:cstheme="minorHAnsi"/>
          <w:sz w:val="21"/>
          <w:szCs w:val="21"/>
        </w:rPr>
        <w:t xml:space="preserve"> €.</w:t>
      </w:r>
    </w:p>
    <w:p w14:paraId="7CC7C9EC" w14:textId="5AC98532" w:rsidR="007301E6" w:rsidRPr="002D70FA" w:rsidRDefault="00AB1870" w:rsidP="002D70FA">
      <w:pPr>
        <w:spacing w:before="60" w:after="60"/>
        <w:ind w:left="-426" w:right="-380"/>
        <w:jc w:val="both"/>
        <w:rPr>
          <w:rFonts w:ascii="Aptos" w:hAnsi="Aptos" w:cstheme="minorHAnsi"/>
          <w:b/>
          <w:sz w:val="21"/>
          <w:szCs w:val="21"/>
        </w:rPr>
      </w:pPr>
      <w:r w:rsidRPr="002D70FA">
        <w:rPr>
          <w:rFonts w:ascii="Aptos" w:hAnsi="Aptos" w:cstheme="minorHAnsi"/>
          <w:b/>
          <w:sz w:val="21"/>
          <w:szCs w:val="21"/>
        </w:rPr>
        <w:t>2. Popis sudskih sporova u tijeku</w:t>
      </w:r>
    </w:p>
    <w:p w14:paraId="68A5D154" w14:textId="5C808E8F" w:rsidR="009D4863" w:rsidRPr="00DD01B2" w:rsidRDefault="00913577" w:rsidP="004B68D2">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Stanje potencijalnih obveza po osnovi sudskih postupaka radi novčane tražbine, naknade štete, utvrđenja prava vlasništva na nekretninama u gradskom vlasništvu i sl. na dan 31.12.202</w:t>
      </w:r>
      <w:r w:rsidR="002D70FA">
        <w:rPr>
          <w:rFonts w:ascii="Aptos" w:hAnsi="Aptos" w:cstheme="minorHAnsi"/>
          <w:sz w:val="21"/>
          <w:szCs w:val="21"/>
        </w:rPr>
        <w:t>5</w:t>
      </w:r>
      <w:r w:rsidRPr="00DD01B2">
        <w:rPr>
          <w:rFonts w:ascii="Aptos" w:hAnsi="Aptos" w:cstheme="minorHAnsi"/>
          <w:sz w:val="21"/>
          <w:szCs w:val="21"/>
        </w:rPr>
        <w:t xml:space="preserve">. godine iznosi </w:t>
      </w:r>
      <w:r w:rsidR="002D70FA">
        <w:rPr>
          <w:rFonts w:ascii="Aptos" w:hAnsi="Aptos" w:cstheme="minorHAnsi"/>
          <w:sz w:val="21"/>
          <w:szCs w:val="21"/>
        </w:rPr>
        <w:t>17.686,24</w:t>
      </w:r>
      <w:r w:rsidR="00F34463" w:rsidRPr="00DD01B2">
        <w:rPr>
          <w:rFonts w:ascii="Aptos" w:hAnsi="Aptos" w:cstheme="minorHAnsi"/>
          <w:sz w:val="21"/>
          <w:szCs w:val="21"/>
        </w:rPr>
        <w:t xml:space="preserve"> €</w:t>
      </w:r>
      <w:r w:rsidRPr="00DD01B2">
        <w:rPr>
          <w:rFonts w:ascii="Aptos" w:hAnsi="Aptos" w:cstheme="minorHAnsi"/>
          <w:sz w:val="21"/>
          <w:szCs w:val="21"/>
        </w:rPr>
        <w:t>, a odnosi se na sljedeće:</w:t>
      </w:r>
    </w:p>
    <w:tbl>
      <w:tblPr>
        <w:tblW w:w="9762" w:type="dxa"/>
        <w:tblInd w:w="-426" w:type="dxa"/>
        <w:shd w:val="clear" w:color="auto" w:fill="FFFFFF" w:themeFill="background1"/>
        <w:tblLayout w:type="fixed"/>
        <w:tblLook w:val="04A0" w:firstRow="1" w:lastRow="0" w:firstColumn="1" w:lastColumn="0" w:noHBand="0" w:noVBand="1"/>
      </w:tblPr>
      <w:tblGrid>
        <w:gridCol w:w="1075"/>
        <w:gridCol w:w="1047"/>
        <w:gridCol w:w="1046"/>
        <w:gridCol w:w="939"/>
        <w:gridCol w:w="1006"/>
        <w:gridCol w:w="2513"/>
        <w:gridCol w:w="1134"/>
        <w:gridCol w:w="1002"/>
      </w:tblGrid>
      <w:tr w:rsidR="00502593" w:rsidRPr="002D70FA" w14:paraId="0760B575" w14:textId="77777777" w:rsidTr="002D70FA">
        <w:trPr>
          <w:trHeight w:val="765"/>
        </w:trPr>
        <w:tc>
          <w:tcPr>
            <w:tcW w:w="1075" w:type="dxa"/>
            <w:shd w:val="clear" w:color="auto" w:fill="F2F2F2" w:themeFill="background1" w:themeFillShade="F2"/>
            <w:vAlign w:val="center"/>
            <w:hideMark/>
          </w:tcPr>
          <w:p w14:paraId="596F50F6" w14:textId="77777777" w:rsidR="00502593" w:rsidRPr="002D70FA" w:rsidRDefault="00502593" w:rsidP="00502593">
            <w:pPr>
              <w:jc w:val="center"/>
              <w:rPr>
                <w:rFonts w:ascii="Aptos" w:hAnsi="Aptos" w:cs="Calibri"/>
                <w:b/>
                <w:bCs/>
                <w:sz w:val="17"/>
                <w:szCs w:val="17"/>
              </w:rPr>
            </w:pPr>
            <w:proofErr w:type="spellStart"/>
            <w:r w:rsidRPr="002D70FA">
              <w:rPr>
                <w:rFonts w:ascii="Aptos" w:hAnsi="Aptos" w:cs="Calibri"/>
                <w:b/>
                <w:bCs/>
                <w:sz w:val="17"/>
                <w:szCs w:val="17"/>
              </w:rPr>
              <w:t>Posl</w:t>
            </w:r>
            <w:proofErr w:type="spellEnd"/>
            <w:r w:rsidRPr="002D70FA">
              <w:rPr>
                <w:rFonts w:ascii="Aptos" w:hAnsi="Aptos" w:cs="Calibri"/>
                <w:b/>
                <w:bCs/>
                <w:sz w:val="17"/>
                <w:szCs w:val="17"/>
              </w:rPr>
              <w:t>. broj</w:t>
            </w:r>
          </w:p>
        </w:tc>
        <w:tc>
          <w:tcPr>
            <w:tcW w:w="1047" w:type="dxa"/>
            <w:shd w:val="clear" w:color="auto" w:fill="F2F2F2" w:themeFill="background1" w:themeFillShade="F2"/>
            <w:vAlign w:val="center"/>
            <w:hideMark/>
          </w:tcPr>
          <w:p w14:paraId="1E81DF69" w14:textId="77777777" w:rsidR="00502593" w:rsidRPr="002D70FA" w:rsidRDefault="00502593" w:rsidP="00502593">
            <w:pPr>
              <w:jc w:val="center"/>
              <w:rPr>
                <w:rFonts w:ascii="Aptos" w:hAnsi="Aptos" w:cs="Calibri"/>
                <w:b/>
                <w:bCs/>
                <w:sz w:val="17"/>
                <w:szCs w:val="17"/>
              </w:rPr>
            </w:pPr>
            <w:r w:rsidRPr="002D70FA">
              <w:rPr>
                <w:rFonts w:ascii="Aptos" w:hAnsi="Aptos" w:cs="Calibri"/>
                <w:b/>
                <w:bCs/>
                <w:sz w:val="17"/>
                <w:szCs w:val="17"/>
              </w:rPr>
              <w:t>VPS</w:t>
            </w:r>
          </w:p>
        </w:tc>
        <w:tc>
          <w:tcPr>
            <w:tcW w:w="1046" w:type="dxa"/>
            <w:shd w:val="clear" w:color="auto" w:fill="F2F2F2" w:themeFill="background1" w:themeFillShade="F2"/>
            <w:vAlign w:val="center"/>
            <w:hideMark/>
          </w:tcPr>
          <w:p w14:paraId="77648427" w14:textId="77777777" w:rsidR="00502593" w:rsidRPr="002D70FA" w:rsidRDefault="00502593" w:rsidP="00502593">
            <w:pPr>
              <w:jc w:val="center"/>
              <w:rPr>
                <w:rFonts w:ascii="Aptos" w:hAnsi="Aptos" w:cs="Calibri"/>
                <w:b/>
                <w:bCs/>
                <w:sz w:val="17"/>
                <w:szCs w:val="17"/>
              </w:rPr>
            </w:pPr>
            <w:r w:rsidRPr="002D70FA">
              <w:rPr>
                <w:rFonts w:ascii="Aptos" w:hAnsi="Aptos" w:cs="Calibri"/>
                <w:b/>
                <w:bCs/>
                <w:sz w:val="17"/>
                <w:szCs w:val="17"/>
              </w:rPr>
              <w:t>Očekivani zavisni troškovi</w:t>
            </w:r>
          </w:p>
        </w:tc>
        <w:tc>
          <w:tcPr>
            <w:tcW w:w="939" w:type="dxa"/>
            <w:shd w:val="clear" w:color="auto" w:fill="F2F2F2" w:themeFill="background1" w:themeFillShade="F2"/>
            <w:vAlign w:val="center"/>
            <w:hideMark/>
          </w:tcPr>
          <w:p w14:paraId="662EB12B" w14:textId="77777777" w:rsidR="00502593" w:rsidRPr="002D70FA" w:rsidRDefault="00502593" w:rsidP="00502593">
            <w:pPr>
              <w:jc w:val="center"/>
              <w:rPr>
                <w:rFonts w:ascii="Aptos" w:hAnsi="Aptos" w:cs="Calibri"/>
                <w:b/>
                <w:bCs/>
                <w:sz w:val="17"/>
                <w:szCs w:val="17"/>
              </w:rPr>
            </w:pPr>
            <w:r w:rsidRPr="002D70FA">
              <w:rPr>
                <w:rFonts w:ascii="Aptos" w:hAnsi="Aptos" w:cs="Calibri"/>
                <w:b/>
                <w:bCs/>
                <w:sz w:val="17"/>
                <w:szCs w:val="17"/>
              </w:rPr>
              <w:t>Tuženik</w:t>
            </w:r>
          </w:p>
        </w:tc>
        <w:tc>
          <w:tcPr>
            <w:tcW w:w="1006" w:type="dxa"/>
            <w:shd w:val="clear" w:color="auto" w:fill="F2F2F2" w:themeFill="background1" w:themeFillShade="F2"/>
            <w:vAlign w:val="center"/>
            <w:hideMark/>
          </w:tcPr>
          <w:p w14:paraId="284FB921" w14:textId="77777777" w:rsidR="00502593" w:rsidRPr="002D70FA" w:rsidRDefault="00502593" w:rsidP="00502593">
            <w:pPr>
              <w:jc w:val="center"/>
              <w:rPr>
                <w:rFonts w:ascii="Aptos" w:hAnsi="Aptos" w:cs="Calibri"/>
                <w:b/>
                <w:bCs/>
                <w:sz w:val="17"/>
                <w:szCs w:val="17"/>
              </w:rPr>
            </w:pPr>
            <w:r w:rsidRPr="002D70FA">
              <w:rPr>
                <w:rFonts w:ascii="Aptos" w:hAnsi="Aptos" w:cs="Calibri"/>
                <w:b/>
                <w:bCs/>
                <w:sz w:val="17"/>
                <w:szCs w:val="17"/>
              </w:rPr>
              <w:t>Tužitelj</w:t>
            </w:r>
          </w:p>
        </w:tc>
        <w:tc>
          <w:tcPr>
            <w:tcW w:w="2513" w:type="dxa"/>
            <w:shd w:val="clear" w:color="auto" w:fill="F2F2F2" w:themeFill="background1" w:themeFillShade="F2"/>
            <w:vAlign w:val="center"/>
            <w:hideMark/>
          </w:tcPr>
          <w:p w14:paraId="157E0028" w14:textId="77777777" w:rsidR="00502593" w:rsidRPr="002D70FA" w:rsidRDefault="00502593" w:rsidP="00502593">
            <w:pPr>
              <w:jc w:val="center"/>
              <w:rPr>
                <w:rFonts w:ascii="Aptos" w:hAnsi="Aptos" w:cs="Calibri"/>
                <w:b/>
                <w:bCs/>
                <w:sz w:val="17"/>
                <w:szCs w:val="17"/>
              </w:rPr>
            </w:pPr>
            <w:r w:rsidRPr="002D70FA">
              <w:rPr>
                <w:rFonts w:ascii="Aptos" w:hAnsi="Aptos" w:cs="Calibri"/>
                <w:b/>
                <w:bCs/>
                <w:sz w:val="17"/>
                <w:szCs w:val="17"/>
              </w:rPr>
              <w:t>Tijek postupka / napomene</w:t>
            </w:r>
          </w:p>
        </w:tc>
        <w:tc>
          <w:tcPr>
            <w:tcW w:w="1134" w:type="dxa"/>
            <w:shd w:val="clear" w:color="auto" w:fill="F2F2F2" w:themeFill="background1" w:themeFillShade="F2"/>
            <w:vAlign w:val="center"/>
            <w:hideMark/>
          </w:tcPr>
          <w:p w14:paraId="1DD8B7DB" w14:textId="454C5AA7" w:rsidR="00502593" w:rsidRPr="002D70FA" w:rsidRDefault="00502593" w:rsidP="00502593">
            <w:pPr>
              <w:jc w:val="center"/>
              <w:rPr>
                <w:rFonts w:ascii="Aptos" w:hAnsi="Aptos" w:cs="Calibri"/>
                <w:b/>
                <w:bCs/>
                <w:sz w:val="17"/>
                <w:szCs w:val="17"/>
              </w:rPr>
            </w:pPr>
            <w:r w:rsidRPr="002D70FA">
              <w:rPr>
                <w:rFonts w:ascii="Aptos" w:hAnsi="Aptos" w:cs="Calibri"/>
                <w:b/>
                <w:bCs/>
                <w:sz w:val="17"/>
                <w:szCs w:val="17"/>
              </w:rPr>
              <w:t xml:space="preserve">Iznos </w:t>
            </w:r>
            <w:proofErr w:type="spellStart"/>
            <w:r w:rsidRPr="002D70FA">
              <w:rPr>
                <w:rFonts w:ascii="Aptos" w:hAnsi="Aptos" w:cs="Calibri"/>
                <w:b/>
                <w:bCs/>
                <w:sz w:val="17"/>
                <w:szCs w:val="17"/>
              </w:rPr>
              <w:t>potenc</w:t>
            </w:r>
            <w:proofErr w:type="spellEnd"/>
            <w:r w:rsidR="002D70FA">
              <w:rPr>
                <w:rFonts w:ascii="Aptos" w:hAnsi="Aptos" w:cs="Calibri"/>
                <w:b/>
                <w:bCs/>
                <w:sz w:val="17"/>
                <w:szCs w:val="17"/>
              </w:rPr>
              <w:t>.</w:t>
            </w:r>
            <w:r w:rsidRPr="002D70FA">
              <w:rPr>
                <w:rFonts w:ascii="Aptos" w:hAnsi="Aptos" w:cs="Calibri"/>
                <w:b/>
                <w:bCs/>
                <w:sz w:val="17"/>
                <w:szCs w:val="17"/>
              </w:rPr>
              <w:t xml:space="preserve"> obveze</w:t>
            </w:r>
          </w:p>
        </w:tc>
        <w:tc>
          <w:tcPr>
            <w:tcW w:w="1002" w:type="dxa"/>
            <w:shd w:val="clear" w:color="auto" w:fill="F2F2F2" w:themeFill="background1" w:themeFillShade="F2"/>
            <w:vAlign w:val="center"/>
            <w:hideMark/>
          </w:tcPr>
          <w:p w14:paraId="33560DEB" w14:textId="3752BA6E" w:rsidR="00502593" w:rsidRPr="002D70FA" w:rsidRDefault="00502593" w:rsidP="00502593">
            <w:pPr>
              <w:jc w:val="center"/>
              <w:rPr>
                <w:rFonts w:ascii="Aptos" w:hAnsi="Aptos" w:cs="Calibri"/>
                <w:b/>
                <w:bCs/>
                <w:sz w:val="17"/>
                <w:szCs w:val="17"/>
              </w:rPr>
            </w:pPr>
            <w:r w:rsidRPr="002D70FA">
              <w:rPr>
                <w:rFonts w:ascii="Aptos" w:hAnsi="Aptos" w:cs="Calibri"/>
                <w:b/>
                <w:bCs/>
                <w:sz w:val="17"/>
                <w:szCs w:val="17"/>
              </w:rPr>
              <w:t xml:space="preserve">Očekivani rok </w:t>
            </w:r>
            <w:proofErr w:type="spellStart"/>
            <w:r w:rsidRPr="002D70FA">
              <w:rPr>
                <w:rFonts w:ascii="Aptos" w:hAnsi="Aptos" w:cs="Calibri"/>
                <w:b/>
                <w:bCs/>
                <w:sz w:val="17"/>
                <w:szCs w:val="17"/>
              </w:rPr>
              <w:t>realiz</w:t>
            </w:r>
            <w:proofErr w:type="spellEnd"/>
            <w:r w:rsidR="002D70FA">
              <w:rPr>
                <w:rFonts w:ascii="Aptos" w:hAnsi="Aptos" w:cs="Calibri"/>
                <w:b/>
                <w:bCs/>
                <w:sz w:val="17"/>
                <w:szCs w:val="17"/>
              </w:rPr>
              <w:t>.</w:t>
            </w:r>
          </w:p>
        </w:tc>
      </w:tr>
      <w:tr w:rsidR="00502593" w:rsidRPr="002D70FA" w14:paraId="1D835E32" w14:textId="77777777" w:rsidTr="000640EF">
        <w:trPr>
          <w:trHeight w:val="616"/>
        </w:trPr>
        <w:tc>
          <w:tcPr>
            <w:tcW w:w="1075" w:type="dxa"/>
            <w:shd w:val="clear" w:color="auto" w:fill="FFFFFF" w:themeFill="background1"/>
            <w:vAlign w:val="center"/>
            <w:hideMark/>
          </w:tcPr>
          <w:p w14:paraId="743092F6" w14:textId="53968526" w:rsidR="00502593" w:rsidRPr="002D70FA" w:rsidRDefault="00502593" w:rsidP="00502593">
            <w:pPr>
              <w:rPr>
                <w:rFonts w:ascii="Aptos" w:hAnsi="Aptos" w:cs="Calibri"/>
                <w:sz w:val="17"/>
                <w:szCs w:val="17"/>
              </w:rPr>
            </w:pPr>
            <w:r w:rsidRPr="002D70FA">
              <w:rPr>
                <w:rFonts w:ascii="Aptos" w:hAnsi="Aptos" w:cs="Calibri"/>
                <w:sz w:val="17"/>
                <w:szCs w:val="17"/>
              </w:rPr>
              <w:lastRenderedPageBreak/>
              <w:t>Općinski sud u Rijeci P-950/18</w:t>
            </w:r>
          </w:p>
        </w:tc>
        <w:tc>
          <w:tcPr>
            <w:tcW w:w="1047" w:type="dxa"/>
            <w:shd w:val="clear" w:color="auto" w:fill="FFFFFF" w:themeFill="background1"/>
            <w:vAlign w:val="center"/>
            <w:hideMark/>
          </w:tcPr>
          <w:p w14:paraId="0682CEED"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1.459,95</w:t>
            </w:r>
          </w:p>
        </w:tc>
        <w:tc>
          <w:tcPr>
            <w:tcW w:w="1046" w:type="dxa"/>
            <w:shd w:val="clear" w:color="auto" w:fill="FFFFFF" w:themeFill="background1"/>
            <w:vAlign w:val="center"/>
            <w:hideMark/>
          </w:tcPr>
          <w:p w14:paraId="6348FF56"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0,00</w:t>
            </w:r>
          </w:p>
        </w:tc>
        <w:tc>
          <w:tcPr>
            <w:tcW w:w="939" w:type="dxa"/>
            <w:shd w:val="clear" w:color="auto" w:fill="FFFFFF" w:themeFill="background1"/>
            <w:vAlign w:val="center"/>
            <w:hideMark/>
          </w:tcPr>
          <w:p w14:paraId="02786AA6" w14:textId="77777777" w:rsidR="00502593" w:rsidRPr="002D70FA" w:rsidRDefault="00502593" w:rsidP="00502593">
            <w:pPr>
              <w:jc w:val="center"/>
              <w:rPr>
                <w:rFonts w:ascii="Aptos" w:hAnsi="Aptos" w:cs="Calibri"/>
                <w:sz w:val="17"/>
                <w:szCs w:val="17"/>
              </w:rPr>
            </w:pPr>
            <w:r w:rsidRPr="002D70FA">
              <w:rPr>
                <w:rFonts w:ascii="Aptos" w:hAnsi="Aptos" w:cs="Calibri"/>
                <w:sz w:val="17"/>
                <w:szCs w:val="17"/>
              </w:rPr>
              <w:t>Grad Bakar</w:t>
            </w:r>
          </w:p>
        </w:tc>
        <w:tc>
          <w:tcPr>
            <w:tcW w:w="1006" w:type="dxa"/>
            <w:shd w:val="clear" w:color="auto" w:fill="FFFFFF" w:themeFill="background1"/>
            <w:vAlign w:val="center"/>
            <w:hideMark/>
          </w:tcPr>
          <w:p w14:paraId="60A02510" w14:textId="73530EBC" w:rsidR="00502593" w:rsidRPr="002D70FA" w:rsidRDefault="00502593" w:rsidP="00502593">
            <w:pPr>
              <w:jc w:val="center"/>
              <w:rPr>
                <w:rFonts w:ascii="Aptos" w:hAnsi="Aptos" w:cs="Calibri"/>
                <w:sz w:val="17"/>
                <w:szCs w:val="17"/>
              </w:rPr>
            </w:pPr>
            <w:r w:rsidRPr="002D70FA">
              <w:rPr>
                <w:rFonts w:ascii="Aptos" w:hAnsi="Aptos" w:cs="Calibri"/>
                <w:sz w:val="17"/>
                <w:szCs w:val="17"/>
              </w:rPr>
              <w:t>G.P.</w:t>
            </w:r>
          </w:p>
        </w:tc>
        <w:tc>
          <w:tcPr>
            <w:tcW w:w="2513" w:type="dxa"/>
            <w:shd w:val="clear" w:color="auto" w:fill="FFFFFF" w:themeFill="background1"/>
            <w:vAlign w:val="center"/>
            <w:hideMark/>
          </w:tcPr>
          <w:p w14:paraId="7ABAD0F2" w14:textId="6D29A7FA" w:rsidR="00502593" w:rsidRPr="002D70FA" w:rsidRDefault="00502593" w:rsidP="00502593">
            <w:pPr>
              <w:rPr>
                <w:rFonts w:ascii="Aptos" w:hAnsi="Aptos" w:cs="Calibri"/>
                <w:sz w:val="17"/>
                <w:szCs w:val="17"/>
              </w:rPr>
            </w:pPr>
            <w:r w:rsidRPr="002D70FA">
              <w:rPr>
                <w:rFonts w:ascii="Aptos" w:hAnsi="Aptos" w:cs="Calibri"/>
                <w:sz w:val="17"/>
                <w:szCs w:val="17"/>
              </w:rPr>
              <w:t>Tužba na utvrđenje prava vlasništva. Prekid zbog smrti stranke</w:t>
            </w:r>
          </w:p>
        </w:tc>
        <w:tc>
          <w:tcPr>
            <w:tcW w:w="1134" w:type="dxa"/>
            <w:shd w:val="clear" w:color="auto" w:fill="FFFFFF" w:themeFill="background1"/>
            <w:noWrap/>
            <w:vAlign w:val="center"/>
            <w:hideMark/>
          </w:tcPr>
          <w:p w14:paraId="6BEEC79A" w14:textId="77777777" w:rsidR="00502593" w:rsidRPr="002D70FA" w:rsidRDefault="00502593" w:rsidP="00F34463">
            <w:pPr>
              <w:jc w:val="right"/>
              <w:rPr>
                <w:rFonts w:ascii="Aptos" w:hAnsi="Aptos" w:cs="Calibri"/>
                <w:sz w:val="17"/>
                <w:szCs w:val="17"/>
              </w:rPr>
            </w:pPr>
            <w:r w:rsidRPr="002D70FA">
              <w:rPr>
                <w:rFonts w:ascii="Aptos" w:hAnsi="Aptos" w:cs="Calibri"/>
                <w:sz w:val="17"/>
                <w:szCs w:val="17"/>
              </w:rPr>
              <w:t>1.459,95</w:t>
            </w:r>
          </w:p>
        </w:tc>
        <w:tc>
          <w:tcPr>
            <w:tcW w:w="1002" w:type="dxa"/>
            <w:shd w:val="clear" w:color="auto" w:fill="FFFFFF" w:themeFill="background1"/>
            <w:vAlign w:val="center"/>
            <w:hideMark/>
          </w:tcPr>
          <w:p w14:paraId="4F662AC3" w14:textId="77777777" w:rsidR="00502593" w:rsidRPr="002D70FA" w:rsidRDefault="00502593" w:rsidP="00F34463">
            <w:pPr>
              <w:jc w:val="center"/>
              <w:rPr>
                <w:rFonts w:ascii="Aptos" w:hAnsi="Aptos" w:cs="Calibri"/>
                <w:sz w:val="17"/>
                <w:szCs w:val="17"/>
              </w:rPr>
            </w:pPr>
            <w:r w:rsidRPr="002D70FA">
              <w:rPr>
                <w:rFonts w:ascii="Aptos" w:hAnsi="Aptos" w:cs="Calibri"/>
                <w:sz w:val="17"/>
                <w:szCs w:val="17"/>
              </w:rPr>
              <w:t>5 godina</w:t>
            </w:r>
          </w:p>
        </w:tc>
      </w:tr>
      <w:tr w:rsidR="00502593" w:rsidRPr="002D70FA" w14:paraId="2AF1C1E0" w14:textId="77777777" w:rsidTr="000640EF">
        <w:trPr>
          <w:trHeight w:val="696"/>
        </w:trPr>
        <w:tc>
          <w:tcPr>
            <w:tcW w:w="1075" w:type="dxa"/>
            <w:shd w:val="clear" w:color="auto" w:fill="FFFFFF" w:themeFill="background1"/>
            <w:vAlign w:val="center"/>
            <w:hideMark/>
          </w:tcPr>
          <w:p w14:paraId="53C17875" w14:textId="641F766F" w:rsidR="00502593" w:rsidRPr="002D70FA" w:rsidRDefault="00502593" w:rsidP="00502593">
            <w:pPr>
              <w:rPr>
                <w:rFonts w:ascii="Aptos" w:hAnsi="Aptos" w:cs="Calibri"/>
                <w:sz w:val="17"/>
                <w:szCs w:val="17"/>
              </w:rPr>
            </w:pPr>
            <w:r w:rsidRPr="002D70FA">
              <w:rPr>
                <w:rFonts w:ascii="Aptos" w:hAnsi="Aptos" w:cs="Calibri"/>
                <w:sz w:val="17"/>
                <w:szCs w:val="17"/>
              </w:rPr>
              <w:t>Općinski sud u Rijeci</w:t>
            </w:r>
            <w:r w:rsidR="00F34463" w:rsidRPr="002D70FA">
              <w:rPr>
                <w:rFonts w:ascii="Aptos" w:hAnsi="Aptos" w:cs="Calibri"/>
                <w:sz w:val="17"/>
                <w:szCs w:val="17"/>
              </w:rPr>
              <w:t xml:space="preserve"> </w:t>
            </w:r>
            <w:r w:rsidRPr="002D70FA">
              <w:rPr>
                <w:rFonts w:ascii="Aptos" w:hAnsi="Aptos" w:cs="Calibri"/>
                <w:sz w:val="17"/>
                <w:szCs w:val="17"/>
              </w:rPr>
              <w:t>P-1583/20</w:t>
            </w:r>
          </w:p>
        </w:tc>
        <w:tc>
          <w:tcPr>
            <w:tcW w:w="1047" w:type="dxa"/>
            <w:shd w:val="clear" w:color="auto" w:fill="FFFFFF" w:themeFill="background1"/>
            <w:vAlign w:val="center"/>
            <w:hideMark/>
          </w:tcPr>
          <w:p w14:paraId="4037079B"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1.459,95</w:t>
            </w:r>
          </w:p>
        </w:tc>
        <w:tc>
          <w:tcPr>
            <w:tcW w:w="1046" w:type="dxa"/>
            <w:shd w:val="clear" w:color="auto" w:fill="FFFFFF" w:themeFill="background1"/>
            <w:vAlign w:val="center"/>
            <w:hideMark/>
          </w:tcPr>
          <w:p w14:paraId="1A2B9CC1" w14:textId="5907418F" w:rsidR="00502593" w:rsidRPr="002D70FA" w:rsidRDefault="00502593" w:rsidP="00502593">
            <w:pPr>
              <w:jc w:val="right"/>
              <w:rPr>
                <w:rFonts w:ascii="Aptos" w:hAnsi="Aptos" w:cs="Calibri"/>
                <w:sz w:val="17"/>
                <w:szCs w:val="17"/>
              </w:rPr>
            </w:pPr>
            <w:r w:rsidRPr="002D70FA">
              <w:rPr>
                <w:rFonts w:ascii="Aptos" w:hAnsi="Aptos" w:cs="Calibri"/>
                <w:sz w:val="17"/>
                <w:szCs w:val="17"/>
              </w:rPr>
              <w:t>6</w:t>
            </w:r>
            <w:r w:rsidR="009958BA" w:rsidRPr="002D70FA">
              <w:rPr>
                <w:rFonts w:ascii="Aptos" w:hAnsi="Aptos" w:cs="Calibri"/>
                <w:sz w:val="17"/>
                <w:szCs w:val="17"/>
              </w:rPr>
              <w:t>90</w:t>
            </w:r>
            <w:r w:rsidRPr="002D70FA">
              <w:rPr>
                <w:rFonts w:ascii="Aptos" w:hAnsi="Aptos" w:cs="Calibri"/>
                <w:sz w:val="17"/>
                <w:szCs w:val="17"/>
              </w:rPr>
              <w:t>,62</w:t>
            </w:r>
          </w:p>
        </w:tc>
        <w:tc>
          <w:tcPr>
            <w:tcW w:w="939" w:type="dxa"/>
            <w:shd w:val="clear" w:color="auto" w:fill="FFFFFF" w:themeFill="background1"/>
            <w:vAlign w:val="center"/>
            <w:hideMark/>
          </w:tcPr>
          <w:p w14:paraId="16294A9E" w14:textId="77777777" w:rsidR="00502593" w:rsidRPr="002D70FA" w:rsidRDefault="00502593" w:rsidP="00502593">
            <w:pPr>
              <w:jc w:val="center"/>
              <w:rPr>
                <w:rFonts w:ascii="Aptos" w:hAnsi="Aptos" w:cs="Calibri"/>
                <w:sz w:val="17"/>
                <w:szCs w:val="17"/>
              </w:rPr>
            </w:pPr>
            <w:r w:rsidRPr="002D70FA">
              <w:rPr>
                <w:rFonts w:ascii="Aptos" w:hAnsi="Aptos" w:cs="Calibri"/>
                <w:sz w:val="17"/>
                <w:szCs w:val="17"/>
              </w:rPr>
              <w:t>Grad Bakar</w:t>
            </w:r>
          </w:p>
        </w:tc>
        <w:tc>
          <w:tcPr>
            <w:tcW w:w="1006" w:type="dxa"/>
            <w:shd w:val="clear" w:color="auto" w:fill="FFFFFF" w:themeFill="background1"/>
            <w:vAlign w:val="center"/>
            <w:hideMark/>
          </w:tcPr>
          <w:p w14:paraId="49205335" w14:textId="53EC0ACF" w:rsidR="00502593" w:rsidRPr="002D70FA" w:rsidRDefault="00F34463" w:rsidP="00502593">
            <w:pPr>
              <w:jc w:val="center"/>
              <w:rPr>
                <w:rFonts w:ascii="Aptos" w:hAnsi="Aptos" w:cs="Calibri"/>
                <w:sz w:val="17"/>
                <w:szCs w:val="17"/>
              </w:rPr>
            </w:pPr>
            <w:r w:rsidRPr="002D70FA">
              <w:rPr>
                <w:rFonts w:ascii="Aptos" w:hAnsi="Aptos" w:cs="Calibri"/>
                <w:sz w:val="17"/>
                <w:szCs w:val="17"/>
              </w:rPr>
              <w:t>D.J.</w:t>
            </w:r>
          </w:p>
        </w:tc>
        <w:tc>
          <w:tcPr>
            <w:tcW w:w="2513" w:type="dxa"/>
            <w:shd w:val="clear" w:color="auto" w:fill="FFFFFF" w:themeFill="background1"/>
            <w:vAlign w:val="center"/>
            <w:hideMark/>
          </w:tcPr>
          <w:p w14:paraId="782500DA" w14:textId="77777777" w:rsidR="00502593" w:rsidRPr="002D70FA" w:rsidRDefault="00502593" w:rsidP="00502593">
            <w:pPr>
              <w:rPr>
                <w:rFonts w:ascii="Aptos" w:hAnsi="Aptos" w:cs="Calibri"/>
                <w:sz w:val="17"/>
                <w:szCs w:val="17"/>
              </w:rPr>
            </w:pPr>
            <w:r w:rsidRPr="002D70FA">
              <w:rPr>
                <w:rFonts w:ascii="Aptos" w:hAnsi="Aptos" w:cs="Calibri"/>
                <w:sz w:val="17"/>
                <w:szCs w:val="17"/>
              </w:rPr>
              <w:t>Očekuje se donošenje prvostupanjske presude</w:t>
            </w:r>
          </w:p>
        </w:tc>
        <w:tc>
          <w:tcPr>
            <w:tcW w:w="1134" w:type="dxa"/>
            <w:shd w:val="clear" w:color="auto" w:fill="FFFFFF" w:themeFill="background1"/>
            <w:noWrap/>
            <w:vAlign w:val="center"/>
            <w:hideMark/>
          </w:tcPr>
          <w:p w14:paraId="3E9E9AEA" w14:textId="77777777" w:rsidR="00502593" w:rsidRPr="002D70FA" w:rsidRDefault="00502593" w:rsidP="00F34463">
            <w:pPr>
              <w:jc w:val="right"/>
              <w:rPr>
                <w:rFonts w:ascii="Aptos" w:hAnsi="Aptos" w:cs="Calibri"/>
                <w:sz w:val="17"/>
                <w:szCs w:val="17"/>
              </w:rPr>
            </w:pPr>
            <w:r w:rsidRPr="002D70FA">
              <w:rPr>
                <w:rFonts w:ascii="Aptos" w:hAnsi="Aptos" w:cs="Calibri"/>
                <w:sz w:val="17"/>
                <w:szCs w:val="17"/>
              </w:rPr>
              <w:t>2.150,57</w:t>
            </w:r>
          </w:p>
        </w:tc>
        <w:tc>
          <w:tcPr>
            <w:tcW w:w="1002" w:type="dxa"/>
            <w:shd w:val="clear" w:color="auto" w:fill="FFFFFF" w:themeFill="background1"/>
            <w:vAlign w:val="center"/>
            <w:hideMark/>
          </w:tcPr>
          <w:p w14:paraId="3F8D4DE3" w14:textId="77777777" w:rsidR="00502593" w:rsidRPr="002D70FA" w:rsidRDefault="00502593" w:rsidP="00F34463">
            <w:pPr>
              <w:jc w:val="center"/>
              <w:rPr>
                <w:rFonts w:ascii="Aptos" w:hAnsi="Aptos" w:cs="Calibri"/>
                <w:sz w:val="17"/>
                <w:szCs w:val="17"/>
              </w:rPr>
            </w:pPr>
            <w:r w:rsidRPr="002D70FA">
              <w:rPr>
                <w:rFonts w:ascii="Aptos" w:hAnsi="Aptos" w:cs="Calibri"/>
                <w:sz w:val="17"/>
                <w:szCs w:val="17"/>
              </w:rPr>
              <w:t>3 godine</w:t>
            </w:r>
          </w:p>
        </w:tc>
      </w:tr>
      <w:tr w:rsidR="00502593" w:rsidRPr="002D70FA" w14:paraId="59728446" w14:textId="77777777" w:rsidTr="000640EF">
        <w:trPr>
          <w:trHeight w:val="564"/>
        </w:trPr>
        <w:tc>
          <w:tcPr>
            <w:tcW w:w="1075" w:type="dxa"/>
            <w:shd w:val="clear" w:color="auto" w:fill="FFFFFF" w:themeFill="background1"/>
            <w:vAlign w:val="center"/>
            <w:hideMark/>
          </w:tcPr>
          <w:p w14:paraId="17A781FF" w14:textId="77777777" w:rsidR="00502593" w:rsidRPr="002D70FA" w:rsidRDefault="00502593" w:rsidP="00502593">
            <w:pPr>
              <w:rPr>
                <w:rFonts w:ascii="Aptos" w:hAnsi="Aptos" w:cs="Calibri"/>
                <w:sz w:val="17"/>
                <w:szCs w:val="17"/>
              </w:rPr>
            </w:pPr>
            <w:r w:rsidRPr="002D70FA">
              <w:rPr>
                <w:rFonts w:ascii="Aptos" w:hAnsi="Aptos" w:cs="Calibri"/>
                <w:sz w:val="17"/>
                <w:szCs w:val="17"/>
              </w:rPr>
              <w:t>Općinski sud u Rijeci Pn-57/2022</w:t>
            </w:r>
          </w:p>
        </w:tc>
        <w:tc>
          <w:tcPr>
            <w:tcW w:w="1047" w:type="dxa"/>
            <w:shd w:val="clear" w:color="auto" w:fill="FFFFFF" w:themeFill="background1"/>
            <w:vAlign w:val="center"/>
            <w:hideMark/>
          </w:tcPr>
          <w:p w14:paraId="1032E264"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3.185,35</w:t>
            </w:r>
          </w:p>
        </w:tc>
        <w:tc>
          <w:tcPr>
            <w:tcW w:w="1046" w:type="dxa"/>
            <w:shd w:val="clear" w:color="auto" w:fill="FFFFFF" w:themeFill="background1"/>
            <w:vAlign w:val="center"/>
            <w:hideMark/>
          </w:tcPr>
          <w:p w14:paraId="0B23C623"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2.000,00</w:t>
            </w:r>
          </w:p>
        </w:tc>
        <w:tc>
          <w:tcPr>
            <w:tcW w:w="939" w:type="dxa"/>
            <w:shd w:val="clear" w:color="auto" w:fill="FFFFFF" w:themeFill="background1"/>
            <w:vAlign w:val="center"/>
            <w:hideMark/>
          </w:tcPr>
          <w:p w14:paraId="7674DBD7" w14:textId="77777777" w:rsidR="00502593" w:rsidRPr="002D70FA" w:rsidRDefault="00502593" w:rsidP="00502593">
            <w:pPr>
              <w:jc w:val="center"/>
              <w:rPr>
                <w:rFonts w:ascii="Aptos" w:hAnsi="Aptos" w:cs="Calibri"/>
                <w:sz w:val="17"/>
                <w:szCs w:val="17"/>
              </w:rPr>
            </w:pPr>
            <w:r w:rsidRPr="002D70FA">
              <w:rPr>
                <w:rFonts w:ascii="Aptos" w:hAnsi="Aptos" w:cs="Calibri"/>
                <w:sz w:val="17"/>
                <w:szCs w:val="17"/>
              </w:rPr>
              <w:t>Grad Bakar</w:t>
            </w:r>
          </w:p>
        </w:tc>
        <w:tc>
          <w:tcPr>
            <w:tcW w:w="1006" w:type="dxa"/>
            <w:shd w:val="clear" w:color="auto" w:fill="FFFFFF" w:themeFill="background1"/>
            <w:vAlign w:val="center"/>
            <w:hideMark/>
          </w:tcPr>
          <w:p w14:paraId="7C22D0F8" w14:textId="4515BFC9" w:rsidR="00502593" w:rsidRPr="002D70FA" w:rsidRDefault="00F34463" w:rsidP="00502593">
            <w:pPr>
              <w:jc w:val="center"/>
              <w:rPr>
                <w:rFonts w:ascii="Aptos" w:hAnsi="Aptos" w:cs="Calibri"/>
                <w:sz w:val="17"/>
                <w:szCs w:val="17"/>
              </w:rPr>
            </w:pPr>
            <w:r w:rsidRPr="002D70FA">
              <w:rPr>
                <w:rFonts w:ascii="Aptos" w:hAnsi="Aptos" w:cs="Calibri"/>
                <w:sz w:val="17"/>
                <w:szCs w:val="17"/>
              </w:rPr>
              <w:t>C.R.</w:t>
            </w:r>
          </w:p>
        </w:tc>
        <w:tc>
          <w:tcPr>
            <w:tcW w:w="2513" w:type="dxa"/>
            <w:shd w:val="clear" w:color="auto" w:fill="FFFFFF" w:themeFill="background1"/>
            <w:vAlign w:val="center"/>
            <w:hideMark/>
          </w:tcPr>
          <w:p w14:paraId="5EB7C2B0" w14:textId="77777777" w:rsidR="00502593" w:rsidRPr="002D70FA" w:rsidRDefault="00502593" w:rsidP="00502593">
            <w:pPr>
              <w:rPr>
                <w:rFonts w:ascii="Aptos" w:hAnsi="Aptos" w:cs="Calibri"/>
                <w:sz w:val="17"/>
                <w:szCs w:val="17"/>
              </w:rPr>
            </w:pPr>
            <w:r w:rsidRPr="002D70FA">
              <w:rPr>
                <w:rFonts w:ascii="Aptos" w:hAnsi="Aptos" w:cs="Calibri"/>
                <w:sz w:val="17"/>
                <w:szCs w:val="17"/>
              </w:rPr>
              <w:t>Tužba zbog naknade nematerijalne i materijalne štete</w:t>
            </w:r>
          </w:p>
        </w:tc>
        <w:tc>
          <w:tcPr>
            <w:tcW w:w="1134" w:type="dxa"/>
            <w:shd w:val="clear" w:color="auto" w:fill="FFFFFF" w:themeFill="background1"/>
            <w:noWrap/>
            <w:vAlign w:val="center"/>
            <w:hideMark/>
          </w:tcPr>
          <w:p w14:paraId="4AB4B8DF" w14:textId="77777777" w:rsidR="00502593" w:rsidRPr="002D70FA" w:rsidRDefault="00502593" w:rsidP="00F34463">
            <w:pPr>
              <w:jc w:val="right"/>
              <w:rPr>
                <w:rFonts w:ascii="Aptos" w:hAnsi="Aptos" w:cs="Calibri"/>
                <w:sz w:val="17"/>
                <w:szCs w:val="17"/>
              </w:rPr>
            </w:pPr>
            <w:r w:rsidRPr="002D70FA">
              <w:rPr>
                <w:rFonts w:ascii="Aptos" w:hAnsi="Aptos" w:cs="Calibri"/>
                <w:sz w:val="17"/>
                <w:szCs w:val="17"/>
              </w:rPr>
              <w:t>5.185,35</w:t>
            </w:r>
          </w:p>
        </w:tc>
        <w:tc>
          <w:tcPr>
            <w:tcW w:w="1002" w:type="dxa"/>
            <w:shd w:val="clear" w:color="auto" w:fill="FFFFFF" w:themeFill="background1"/>
            <w:vAlign w:val="center"/>
            <w:hideMark/>
          </w:tcPr>
          <w:p w14:paraId="359CBFB0" w14:textId="77777777" w:rsidR="00502593" w:rsidRPr="002D70FA" w:rsidRDefault="00502593" w:rsidP="00F34463">
            <w:pPr>
              <w:jc w:val="center"/>
              <w:rPr>
                <w:rFonts w:ascii="Aptos" w:hAnsi="Aptos" w:cs="Calibri"/>
                <w:sz w:val="17"/>
                <w:szCs w:val="17"/>
              </w:rPr>
            </w:pPr>
            <w:r w:rsidRPr="002D70FA">
              <w:rPr>
                <w:rFonts w:ascii="Aptos" w:hAnsi="Aptos" w:cs="Calibri"/>
                <w:sz w:val="17"/>
                <w:szCs w:val="17"/>
              </w:rPr>
              <w:t>2 godine</w:t>
            </w:r>
          </w:p>
        </w:tc>
      </w:tr>
      <w:tr w:rsidR="00502593" w:rsidRPr="002D70FA" w14:paraId="25FAB3C4" w14:textId="77777777" w:rsidTr="000640EF">
        <w:trPr>
          <w:trHeight w:val="672"/>
        </w:trPr>
        <w:tc>
          <w:tcPr>
            <w:tcW w:w="1075" w:type="dxa"/>
            <w:shd w:val="clear" w:color="auto" w:fill="FFFFFF" w:themeFill="background1"/>
            <w:vAlign w:val="center"/>
            <w:hideMark/>
          </w:tcPr>
          <w:p w14:paraId="19495A42" w14:textId="77777777" w:rsidR="00502593" w:rsidRPr="002D70FA" w:rsidRDefault="00502593" w:rsidP="00502593">
            <w:pPr>
              <w:rPr>
                <w:rFonts w:ascii="Aptos" w:hAnsi="Aptos" w:cs="Calibri"/>
                <w:sz w:val="17"/>
                <w:szCs w:val="17"/>
              </w:rPr>
            </w:pPr>
            <w:r w:rsidRPr="002D70FA">
              <w:rPr>
                <w:rFonts w:ascii="Aptos" w:hAnsi="Aptos" w:cs="Calibri"/>
                <w:sz w:val="17"/>
                <w:szCs w:val="17"/>
              </w:rPr>
              <w:t>Općinski sud u Rijeci P-577/2020</w:t>
            </w:r>
          </w:p>
        </w:tc>
        <w:tc>
          <w:tcPr>
            <w:tcW w:w="1047" w:type="dxa"/>
            <w:shd w:val="clear" w:color="auto" w:fill="FFFFFF" w:themeFill="background1"/>
            <w:vAlign w:val="center"/>
            <w:hideMark/>
          </w:tcPr>
          <w:p w14:paraId="2E184DE0"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1.327,36</w:t>
            </w:r>
          </w:p>
        </w:tc>
        <w:tc>
          <w:tcPr>
            <w:tcW w:w="1046" w:type="dxa"/>
            <w:shd w:val="clear" w:color="auto" w:fill="FFFFFF" w:themeFill="background1"/>
            <w:vAlign w:val="center"/>
            <w:hideMark/>
          </w:tcPr>
          <w:p w14:paraId="7570512E"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1.327,23</w:t>
            </w:r>
          </w:p>
        </w:tc>
        <w:tc>
          <w:tcPr>
            <w:tcW w:w="939" w:type="dxa"/>
            <w:shd w:val="clear" w:color="auto" w:fill="FFFFFF" w:themeFill="background1"/>
            <w:vAlign w:val="center"/>
            <w:hideMark/>
          </w:tcPr>
          <w:p w14:paraId="70E74480" w14:textId="5B12E2F6" w:rsidR="00502593" w:rsidRPr="002D70FA" w:rsidRDefault="00502593" w:rsidP="00502593">
            <w:pPr>
              <w:jc w:val="center"/>
              <w:rPr>
                <w:rFonts w:ascii="Aptos" w:hAnsi="Aptos" w:cs="Calibri"/>
                <w:sz w:val="17"/>
                <w:szCs w:val="17"/>
              </w:rPr>
            </w:pPr>
            <w:r w:rsidRPr="002D70FA">
              <w:rPr>
                <w:rFonts w:ascii="Aptos" w:hAnsi="Aptos" w:cs="Calibri"/>
                <w:sz w:val="17"/>
                <w:szCs w:val="17"/>
              </w:rPr>
              <w:t>Grad Bakar i RH</w:t>
            </w:r>
          </w:p>
        </w:tc>
        <w:tc>
          <w:tcPr>
            <w:tcW w:w="1006" w:type="dxa"/>
            <w:shd w:val="clear" w:color="auto" w:fill="FFFFFF" w:themeFill="background1"/>
            <w:vAlign w:val="center"/>
            <w:hideMark/>
          </w:tcPr>
          <w:p w14:paraId="733BC6D4" w14:textId="40DF8C37" w:rsidR="00502593" w:rsidRPr="002D70FA" w:rsidRDefault="00F34463" w:rsidP="00502593">
            <w:pPr>
              <w:jc w:val="center"/>
              <w:rPr>
                <w:rFonts w:ascii="Aptos" w:hAnsi="Aptos" w:cs="Calibri"/>
                <w:sz w:val="17"/>
                <w:szCs w:val="17"/>
              </w:rPr>
            </w:pPr>
            <w:r w:rsidRPr="002D70FA">
              <w:rPr>
                <w:rFonts w:ascii="Aptos" w:hAnsi="Aptos" w:cs="Calibri"/>
                <w:sz w:val="17"/>
                <w:szCs w:val="17"/>
              </w:rPr>
              <w:t>D.M.</w:t>
            </w:r>
          </w:p>
        </w:tc>
        <w:tc>
          <w:tcPr>
            <w:tcW w:w="2513" w:type="dxa"/>
            <w:shd w:val="clear" w:color="auto" w:fill="FFFFFF" w:themeFill="background1"/>
            <w:vAlign w:val="center"/>
            <w:hideMark/>
          </w:tcPr>
          <w:p w14:paraId="5747953F" w14:textId="77777777" w:rsidR="00502593" w:rsidRPr="002D70FA" w:rsidRDefault="00502593" w:rsidP="00502593">
            <w:pPr>
              <w:rPr>
                <w:rFonts w:ascii="Aptos" w:hAnsi="Aptos" w:cs="Calibri"/>
                <w:sz w:val="17"/>
                <w:szCs w:val="17"/>
              </w:rPr>
            </w:pPr>
            <w:r w:rsidRPr="002D70FA">
              <w:rPr>
                <w:rFonts w:ascii="Aptos" w:hAnsi="Aptos" w:cs="Calibri"/>
                <w:sz w:val="17"/>
                <w:szCs w:val="17"/>
              </w:rPr>
              <w:t>Tužba radi utvrđenja prava vlasništva</w:t>
            </w:r>
          </w:p>
        </w:tc>
        <w:tc>
          <w:tcPr>
            <w:tcW w:w="1134" w:type="dxa"/>
            <w:shd w:val="clear" w:color="auto" w:fill="FFFFFF" w:themeFill="background1"/>
            <w:noWrap/>
            <w:vAlign w:val="center"/>
            <w:hideMark/>
          </w:tcPr>
          <w:p w14:paraId="703570D1" w14:textId="77777777" w:rsidR="00502593" w:rsidRPr="002D70FA" w:rsidRDefault="00502593" w:rsidP="00F34463">
            <w:pPr>
              <w:jc w:val="right"/>
              <w:rPr>
                <w:rFonts w:ascii="Aptos" w:hAnsi="Aptos" w:cs="Calibri"/>
                <w:sz w:val="17"/>
                <w:szCs w:val="17"/>
              </w:rPr>
            </w:pPr>
            <w:r w:rsidRPr="002D70FA">
              <w:rPr>
                <w:rFonts w:ascii="Aptos" w:hAnsi="Aptos" w:cs="Calibri"/>
                <w:sz w:val="17"/>
                <w:szCs w:val="17"/>
              </w:rPr>
              <w:t>2.654,59</w:t>
            </w:r>
          </w:p>
        </w:tc>
        <w:tc>
          <w:tcPr>
            <w:tcW w:w="1002" w:type="dxa"/>
            <w:shd w:val="clear" w:color="auto" w:fill="FFFFFF" w:themeFill="background1"/>
            <w:vAlign w:val="center"/>
            <w:hideMark/>
          </w:tcPr>
          <w:p w14:paraId="2CC894A1" w14:textId="77777777" w:rsidR="00502593" w:rsidRPr="002D70FA" w:rsidRDefault="00502593" w:rsidP="00F34463">
            <w:pPr>
              <w:jc w:val="center"/>
              <w:rPr>
                <w:rFonts w:ascii="Aptos" w:hAnsi="Aptos" w:cs="Calibri"/>
                <w:sz w:val="17"/>
                <w:szCs w:val="17"/>
              </w:rPr>
            </w:pPr>
            <w:r w:rsidRPr="002D70FA">
              <w:rPr>
                <w:rFonts w:ascii="Aptos" w:hAnsi="Aptos" w:cs="Calibri"/>
                <w:sz w:val="17"/>
                <w:szCs w:val="17"/>
              </w:rPr>
              <w:t>2 godine</w:t>
            </w:r>
          </w:p>
        </w:tc>
      </w:tr>
      <w:tr w:rsidR="00502593" w:rsidRPr="002D70FA" w14:paraId="0127F763" w14:textId="77777777" w:rsidTr="000640EF">
        <w:trPr>
          <w:trHeight w:val="876"/>
        </w:trPr>
        <w:tc>
          <w:tcPr>
            <w:tcW w:w="1075" w:type="dxa"/>
            <w:shd w:val="clear" w:color="auto" w:fill="FFFFFF" w:themeFill="background1"/>
            <w:vAlign w:val="center"/>
            <w:hideMark/>
          </w:tcPr>
          <w:p w14:paraId="1DCF206D" w14:textId="176D3BB4" w:rsidR="00502593" w:rsidRPr="002D70FA" w:rsidRDefault="00502593" w:rsidP="00502593">
            <w:pPr>
              <w:rPr>
                <w:rFonts w:ascii="Aptos" w:hAnsi="Aptos" w:cs="Calibri"/>
                <w:sz w:val="17"/>
                <w:szCs w:val="17"/>
              </w:rPr>
            </w:pPr>
            <w:r w:rsidRPr="002D70FA">
              <w:rPr>
                <w:rFonts w:ascii="Aptos" w:hAnsi="Aptos" w:cs="Calibri"/>
                <w:sz w:val="17"/>
                <w:szCs w:val="17"/>
              </w:rPr>
              <w:t>Općinski sud u Rijeci P</w:t>
            </w:r>
            <w:r w:rsidR="00F34463" w:rsidRPr="002D70FA">
              <w:rPr>
                <w:rFonts w:ascii="Aptos" w:hAnsi="Aptos" w:cs="Calibri"/>
                <w:sz w:val="17"/>
                <w:szCs w:val="17"/>
              </w:rPr>
              <w:t>-</w:t>
            </w:r>
            <w:r w:rsidRPr="002D70FA">
              <w:rPr>
                <w:rFonts w:ascii="Aptos" w:hAnsi="Aptos" w:cs="Calibri"/>
                <w:sz w:val="17"/>
                <w:szCs w:val="17"/>
              </w:rPr>
              <w:t>1719/21</w:t>
            </w:r>
          </w:p>
        </w:tc>
        <w:tc>
          <w:tcPr>
            <w:tcW w:w="1047" w:type="dxa"/>
            <w:shd w:val="clear" w:color="auto" w:fill="FFFFFF" w:themeFill="background1"/>
            <w:vAlign w:val="center"/>
            <w:hideMark/>
          </w:tcPr>
          <w:p w14:paraId="2E1BAE3F"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2.654,46</w:t>
            </w:r>
          </w:p>
        </w:tc>
        <w:tc>
          <w:tcPr>
            <w:tcW w:w="1046" w:type="dxa"/>
            <w:shd w:val="clear" w:color="auto" w:fill="FFFFFF" w:themeFill="background1"/>
            <w:vAlign w:val="center"/>
            <w:hideMark/>
          </w:tcPr>
          <w:p w14:paraId="76F866A6" w14:textId="77777777" w:rsidR="00502593" w:rsidRPr="002D70FA" w:rsidRDefault="00502593" w:rsidP="00502593">
            <w:pPr>
              <w:jc w:val="right"/>
              <w:rPr>
                <w:rFonts w:ascii="Aptos" w:hAnsi="Aptos" w:cs="Calibri"/>
                <w:sz w:val="17"/>
                <w:szCs w:val="17"/>
              </w:rPr>
            </w:pPr>
            <w:r w:rsidRPr="002D70FA">
              <w:rPr>
                <w:rFonts w:ascii="Aptos" w:hAnsi="Aptos" w:cs="Calibri"/>
                <w:sz w:val="17"/>
                <w:szCs w:val="17"/>
              </w:rPr>
              <w:t>0,00</w:t>
            </w:r>
          </w:p>
        </w:tc>
        <w:tc>
          <w:tcPr>
            <w:tcW w:w="939" w:type="dxa"/>
            <w:shd w:val="clear" w:color="auto" w:fill="FFFFFF" w:themeFill="background1"/>
            <w:vAlign w:val="center"/>
            <w:hideMark/>
          </w:tcPr>
          <w:p w14:paraId="3286DE40" w14:textId="77777777" w:rsidR="00502593" w:rsidRPr="002D70FA" w:rsidRDefault="00502593" w:rsidP="00502593">
            <w:pPr>
              <w:jc w:val="center"/>
              <w:rPr>
                <w:rFonts w:ascii="Aptos" w:hAnsi="Aptos" w:cs="Calibri"/>
                <w:sz w:val="17"/>
                <w:szCs w:val="17"/>
              </w:rPr>
            </w:pPr>
            <w:r w:rsidRPr="002D70FA">
              <w:rPr>
                <w:rFonts w:ascii="Aptos" w:hAnsi="Aptos" w:cs="Calibri"/>
                <w:sz w:val="17"/>
                <w:szCs w:val="17"/>
              </w:rPr>
              <w:t>Grad Bakar</w:t>
            </w:r>
          </w:p>
        </w:tc>
        <w:tc>
          <w:tcPr>
            <w:tcW w:w="1006" w:type="dxa"/>
            <w:shd w:val="clear" w:color="auto" w:fill="FFFFFF" w:themeFill="background1"/>
            <w:vAlign w:val="center"/>
            <w:hideMark/>
          </w:tcPr>
          <w:p w14:paraId="7B08FF1C" w14:textId="01D3F858" w:rsidR="00502593" w:rsidRPr="002D70FA" w:rsidRDefault="00F34463" w:rsidP="00502593">
            <w:pPr>
              <w:jc w:val="center"/>
              <w:rPr>
                <w:rFonts w:ascii="Aptos" w:hAnsi="Aptos" w:cs="Calibri"/>
                <w:sz w:val="17"/>
                <w:szCs w:val="17"/>
              </w:rPr>
            </w:pPr>
            <w:r w:rsidRPr="002D70FA">
              <w:rPr>
                <w:rFonts w:ascii="Aptos" w:hAnsi="Aptos" w:cs="Calibri"/>
                <w:sz w:val="17"/>
                <w:szCs w:val="17"/>
              </w:rPr>
              <w:t>S.Š.</w:t>
            </w:r>
          </w:p>
        </w:tc>
        <w:tc>
          <w:tcPr>
            <w:tcW w:w="2513" w:type="dxa"/>
            <w:shd w:val="clear" w:color="auto" w:fill="FFFFFF" w:themeFill="background1"/>
            <w:vAlign w:val="center"/>
            <w:hideMark/>
          </w:tcPr>
          <w:p w14:paraId="232FC86A" w14:textId="09766D12" w:rsidR="00502593" w:rsidRPr="002D70FA" w:rsidRDefault="00502593" w:rsidP="00502593">
            <w:pPr>
              <w:rPr>
                <w:rFonts w:ascii="Aptos" w:hAnsi="Aptos" w:cs="Calibri"/>
                <w:sz w:val="17"/>
                <w:szCs w:val="17"/>
              </w:rPr>
            </w:pPr>
            <w:r w:rsidRPr="002D70FA">
              <w:rPr>
                <w:rFonts w:ascii="Aptos" w:hAnsi="Aptos" w:cs="Calibri"/>
                <w:sz w:val="17"/>
                <w:szCs w:val="17"/>
              </w:rPr>
              <w:t>Postupak je tek pokrenut</w:t>
            </w:r>
          </w:p>
        </w:tc>
        <w:tc>
          <w:tcPr>
            <w:tcW w:w="1134" w:type="dxa"/>
            <w:shd w:val="clear" w:color="auto" w:fill="FFFFFF" w:themeFill="background1"/>
            <w:noWrap/>
            <w:vAlign w:val="center"/>
            <w:hideMark/>
          </w:tcPr>
          <w:p w14:paraId="7B284C11" w14:textId="77777777" w:rsidR="00502593" w:rsidRPr="002D70FA" w:rsidRDefault="00502593" w:rsidP="00F34463">
            <w:pPr>
              <w:jc w:val="right"/>
              <w:rPr>
                <w:rFonts w:ascii="Aptos" w:hAnsi="Aptos" w:cs="Calibri"/>
                <w:sz w:val="17"/>
                <w:szCs w:val="17"/>
              </w:rPr>
            </w:pPr>
            <w:r w:rsidRPr="002D70FA">
              <w:rPr>
                <w:rFonts w:ascii="Aptos" w:hAnsi="Aptos" w:cs="Calibri"/>
                <w:sz w:val="17"/>
                <w:szCs w:val="17"/>
              </w:rPr>
              <w:t>2.654,46</w:t>
            </w:r>
          </w:p>
        </w:tc>
        <w:tc>
          <w:tcPr>
            <w:tcW w:w="1002" w:type="dxa"/>
            <w:shd w:val="clear" w:color="auto" w:fill="FFFFFF" w:themeFill="background1"/>
            <w:vAlign w:val="center"/>
            <w:hideMark/>
          </w:tcPr>
          <w:p w14:paraId="64EA0753" w14:textId="77777777" w:rsidR="00502593" w:rsidRPr="002D70FA" w:rsidRDefault="00502593" w:rsidP="00F34463">
            <w:pPr>
              <w:jc w:val="center"/>
              <w:rPr>
                <w:rFonts w:ascii="Aptos" w:hAnsi="Aptos" w:cs="Calibri"/>
                <w:sz w:val="17"/>
                <w:szCs w:val="17"/>
              </w:rPr>
            </w:pPr>
            <w:r w:rsidRPr="002D70FA">
              <w:rPr>
                <w:rFonts w:ascii="Aptos" w:hAnsi="Aptos" w:cs="Calibri"/>
                <w:sz w:val="17"/>
                <w:szCs w:val="17"/>
              </w:rPr>
              <w:t>3 godine</w:t>
            </w:r>
          </w:p>
        </w:tc>
      </w:tr>
      <w:tr w:rsidR="004B68D2" w:rsidRPr="002D70FA" w14:paraId="3D55C283" w14:textId="77777777" w:rsidTr="000640EF">
        <w:trPr>
          <w:trHeight w:val="699"/>
        </w:trPr>
        <w:tc>
          <w:tcPr>
            <w:tcW w:w="1075" w:type="dxa"/>
            <w:shd w:val="clear" w:color="auto" w:fill="FFFFFF" w:themeFill="background1"/>
            <w:vAlign w:val="center"/>
          </w:tcPr>
          <w:p w14:paraId="335DDD51" w14:textId="6C39106D" w:rsidR="004B68D2" w:rsidRPr="002D70FA" w:rsidRDefault="004B68D2" w:rsidP="004B68D2">
            <w:pPr>
              <w:rPr>
                <w:rFonts w:ascii="Aptos" w:hAnsi="Aptos" w:cs="Calibri"/>
                <w:sz w:val="17"/>
                <w:szCs w:val="17"/>
              </w:rPr>
            </w:pPr>
            <w:r w:rsidRPr="002D70FA">
              <w:rPr>
                <w:rFonts w:ascii="Aptos" w:hAnsi="Aptos" w:cs="Calibri"/>
                <w:sz w:val="17"/>
                <w:szCs w:val="17"/>
              </w:rPr>
              <w:t>Općinski sud u Rijeci, Ovr-1165/2024</w:t>
            </w:r>
          </w:p>
        </w:tc>
        <w:tc>
          <w:tcPr>
            <w:tcW w:w="1047" w:type="dxa"/>
            <w:shd w:val="clear" w:color="auto" w:fill="FFFFFF" w:themeFill="background1"/>
            <w:vAlign w:val="center"/>
          </w:tcPr>
          <w:p w14:paraId="33002885" w14:textId="19A2E25D" w:rsidR="004B68D2" w:rsidRPr="002D70FA" w:rsidRDefault="004B68D2" w:rsidP="004B68D2">
            <w:pPr>
              <w:jc w:val="right"/>
              <w:rPr>
                <w:rFonts w:ascii="Aptos" w:hAnsi="Aptos" w:cs="Calibri"/>
                <w:sz w:val="17"/>
                <w:szCs w:val="17"/>
              </w:rPr>
            </w:pPr>
            <w:r w:rsidRPr="002D70FA">
              <w:rPr>
                <w:rFonts w:ascii="Aptos" w:hAnsi="Aptos" w:cs="Calibri"/>
                <w:sz w:val="17"/>
                <w:szCs w:val="17"/>
              </w:rPr>
              <w:t>3</w:t>
            </w:r>
            <w:r w:rsidR="009958BA" w:rsidRPr="002D70FA">
              <w:rPr>
                <w:rFonts w:ascii="Aptos" w:hAnsi="Aptos" w:cs="Calibri"/>
                <w:sz w:val="17"/>
                <w:szCs w:val="17"/>
              </w:rPr>
              <w:t>.</w:t>
            </w:r>
            <w:r w:rsidRPr="002D70FA">
              <w:rPr>
                <w:rFonts w:ascii="Aptos" w:hAnsi="Aptos" w:cs="Calibri"/>
                <w:sz w:val="17"/>
                <w:szCs w:val="17"/>
              </w:rPr>
              <w:t>318,07</w:t>
            </w:r>
          </w:p>
        </w:tc>
        <w:tc>
          <w:tcPr>
            <w:tcW w:w="1046" w:type="dxa"/>
            <w:shd w:val="clear" w:color="auto" w:fill="FFFFFF" w:themeFill="background1"/>
            <w:vAlign w:val="center"/>
          </w:tcPr>
          <w:p w14:paraId="281F43B8" w14:textId="7FB74023" w:rsidR="004B68D2" w:rsidRPr="002D70FA" w:rsidRDefault="004B68D2" w:rsidP="004B68D2">
            <w:pPr>
              <w:jc w:val="right"/>
              <w:rPr>
                <w:rFonts w:ascii="Aptos" w:hAnsi="Aptos" w:cs="Calibri"/>
                <w:sz w:val="17"/>
                <w:szCs w:val="17"/>
              </w:rPr>
            </w:pPr>
            <w:r w:rsidRPr="002D70FA">
              <w:rPr>
                <w:rFonts w:ascii="Aptos" w:hAnsi="Aptos" w:cs="Calibri"/>
                <w:sz w:val="17"/>
                <w:szCs w:val="17"/>
              </w:rPr>
              <w:t>263,25</w:t>
            </w:r>
          </w:p>
        </w:tc>
        <w:tc>
          <w:tcPr>
            <w:tcW w:w="939" w:type="dxa"/>
            <w:shd w:val="clear" w:color="auto" w:fill="FFFFFF" w:themeFill="background1"/>
            <w:vAlign w:val="center"/>
          </w:tcPr>
          <w:p w14:paraId="5275B5AC" w14:textId="633F595B" w:rsidR="004B68D2" w:rsidRPr="002D70FA" w:rsidRDefault="004B68D2" w:rsidP="004B68D2">
            <w:pPr>
              <w:jc w:val="center"/>
              <w:rPr>
                <w:rFonts w:ascii="Aptos" w:hAnsi="Aptos" w:cs="Calibri"/>
                <w:sz w:val="17"/>
                <w:szCs w:val="17"/>
              </w:rPr>
            </w:pPr>
            <w:r w:rsidRPr="002D70FA">
              <w:rPr>
                <w:rFonts w:ascii="Aptos" w:hAnsi="Aptos" w:cs="Calibri"/>
                <w:sz w:val="17"/>
                <w:szCs w:val="17"/>
              </w:rPr>
              <w:t>Z.B.</w:t>
            </w:r>
          </w:p>
        </w:tc>
        <w:tc>
          <w:tcPr>
            <w:tcW w:w="1006" w:type="dxa"/>
            <w:shd w:val="clear" w:color="auto" w:fill="FFFFFF" w:themeFill="background1"/>
            <w:vAlign w:val="center"/>
          </w:tcPr>
          <w:p w14:paraId="08C75A6F" w14:textId="35B3E937" w:rsidR="004B68D2" w:rsidRPr="002D70FA" w:rsidRDefault="004B68D2" w:rsidP="004B68D2">
            <w:pPr>
              <w:jc w:val="center"/>
              <w:rPr>
                <w:rFonts w:ascii="Aptos" w:hAnsi="Aptos" w:cs="Calibri"/>
                <w:sz w:val="17"/>
                <w:szCs w:val="17"/>
              </w:rPr>
            </w:pPr>
            <w:r w:rsidRPr="002D70FA">
              <w:rPr>
                <w:rFonts w:ascii="Aptos" w:hAnsi="Aptos" w:cs="Calibri"/>
                <w:sz w:val="17"/>
                <w:szCs w:val="17"/>
              </w:rPr>
              <w:t>Grad Bakar i Z.S.</w:t>
            </w:r>
          </w:p>
        </w:tc>
        <w:tc>
          <w:tcPr>
            <w:tcW w:w="2513" w:type="dxa"/>
            <w:shd w:val="clear" w:color="auto" w:fill="FFFFFF" w:themeFill="background1"/>
            <w:vAlign w:val="center"/>
          </w:tcPr>
          <w:p w14:paraId="62E50AB8" w14:textId="682D4E75" w:rsidR="004B68D2" w:rsidRPr="002D70FA" w:rsidRDefault="004B68D2" w:rsidP="004B68D2">
            <w:pPr>
              <w:rPr>
                <w:rFonts w:ascii="Aptos" w:hAnsi="Aptos" w:cs="Calibri"/>
                <w:sz w:val="17"/>
                <w:szCs w:val="17"/>
              </w:rPr>
            </w:pPr>
            <w:r w:rsidRPr="002D70FA">
              <w:rPr>
                <w:rFonts w:ascii="Aptos" w:hAnsi="Aptos" w:cs="Calibri"/>
                <w:sz w:val="17"/>
                <w:szCs w:val="17"/>
              </w:rPr>
              <w:t>Ostvarenje prisilne naplate</w:t>
            </w:r>
          </w:p>
        </w:tc>
        <w:tc>
          <w:tcPr>
            <w:tcW w:w="1134" w:type="dxa"/>
            <w:shd w:val="clear" w:color="auto" w:fill="FFFFFF" w:themeFill="background1"/>
            <w:noWrap/>
            <w:vAlign w:val="center"/>
          </w:tcPr>
          <w:p w14:paraId="07D9301B" w14:textId="468DAB6E" w:rsidR="004B68D2" w:rsidRPr="002D70FA" w:rsidRDefault="004B68D2" w:rsidP="004B68D2">
            <w:pPr>
              <w:jc w:val="right"/>
              <w:rPr>
                <w:rFonts w:ascii="Aptos" w:hAnsi="Aptos" w:cs="Calibri"/>
                <w:sz w:val="17"/>
                <w:szCs w:val="17"/>
              </w:rPr>
            </w:pPr>
            <w:r w:rsidRPr="002D70FA">
              <w:rPr>
                <w:rFonts w:ascii="Aptos" w:hAnsi="Aptos" w:cs="Calibri"/>
                <w:sz w:val="17"/>
                <w:szCs w:val="17"/>
              </w:rPr>
              <w:t>3.581,32</w:t>
            </w:r>
          </w:p>
        </w:tc>
        <w:tc>
          <w:tcPr>
            <w:tcW w:w="1002" w:type="dxa"/>
            <w:shd w:val="clear" w:color="auto" w:fill="FFFFFF" w:themeFill="background1"/>
            <w:vAlign w:val="center"/>
          </w:tcPr>
          <w:p w14:paraId="32172791" w14:textId="0AC3A952" w:rsidR="004B68D2" w:rsidRPr="002D70FA" w:rsidRDefault="004B68D2" w:rsidP="004B68D2">
            <w:pPr>
              <w:jc w:val="center"/>
              <w:rPr>
                <w:rFonts w:ascii="Aptos" w:hAnsi="Aptos" w:cs="Calibri"/>
                <w:sz w:val="17"/>
                <w:szCs w:val="17"/>
              </w:rPr>
            </w:pPr>
            <w:r w:rsidRPr="002D70FA">
              <w:rPr>
                <w:rFonts w:ascii="Aptos" w:hAnsi="Aptos" w:cs="Calibri"/>
                <w:sz w:val="17"/>
                <w:szCs w:val="17"/>
              </w:rPr>
              <w:t>5 godina</w:t>
            </w:r>
          </w:p>
        </w:tc>
      </w:tr>
      <w:tr w:rsidR="00502593" w:rsidRPr="002D70FA" w14:paraId="2519143C" w14:textId="77777777" w:rsidTr="002D70FA">
        <w:trPr>
          <w:trHeight w:val="459"/>
        </w:trPr>
        <w:tc>
          <w:tcPr>
            <w:tcW w:w="1075" w:type="dxa"/>
            <w:shd w:val="clear" w:color="auto" w:fill="F2F2F2" w:themeFill="background1" w:themeFillShade="F2"/>
            <w:vAlign w:val="center"/>
            <w:hideMark/>
          </w:tcPr>
          <w:p w14:paraId="754A4A95" w14:textId="1D3A4EF7" w:rsidR="00502593" w:rsidRPr="002D70FA" w:rsidRDefault="00502593" w:rsidP="00502593">
            <w:pPr>
              <w:rPr>
                <w:rFonts w:ascii="Aptos" w:hAnsi="Aptos" w:cs="Calibri"/>
                <w:b/>
                <w:bCs/>
                <w:sz w:val="17"/>
                <w:szCs w:val="17"/>
              </w:rPr>
            </w:pPr>
            <w:r w:rsidRPr="002D70FA">
              <w:rPr>
                <w:rFonts w:ascii="Aptos" w:hAnsi="Aptos" w:cs="Calibri"/>
                <w:b/>
                <w:bCs/>
                <w:sz w:val="17"/>
                <w:szCs w:val="17"/>
              </w:rPr>
              <w:t> </w:t>
            </w:r>
            <w:r w:rsidR="00F34463" w:rsidRPr="002D70FA">
              <w:rPr>
                <w:rFonts w:ascii="Aptos" w:hAnsi="Aptos" w:cs="Calibri"/>
                <w:b/>
                <w:bCs/>
                <w:sz w:val="17"/>
                <w:szCs w:val="17"/>
              </w:rPr>
              <w:t>UKUPNO</w:t>
            </w:r>
          </w:p>
        </w:tc>
        <w:tc>
          <w:tcPr>
            <w:tcW w:w="1047" w:type="dxa"/>
            <w:shd w:val="clear" w:color="auto" w:fill="F2F2F2" w:themeFill="background1" w:themeFillShade="F2"/>
            <w:vAlign w:val="center"/>
            <w:hideMark/>
          </w:tcPr>
          <w:p w14:paraId="3E1C2A1F" w14:textId="74499D6E" w:rsidR="00502593" w:rsidRPr="002D70FA" w:rsidRDefault="002D70FA" w:rsidP="00502593">
            <w:pPr>
              <w:jc w:val="right"/>
              <w:rPr>
                <w:rFonts w:ascii="Aptos" w:hAnsi="Aptos" w:cs="Calibri"/>
                <w:b/>
                <w:bCs/>
                <w:sz w:val="17"/>
                <w:szCs w:val="17"/>
              </w:rPr>
            </w:pPr>
            <w:r>
              <w:rPr>
                <w:rFonts w:ascii="Aptos" w:hAnsi="Aptos" w:cs="Calibri"/>
                <w:b/>
                <w:bCs/>
                <w:sz w:val="17"/>
                <w:szCs w:val="17"/>
              </w:rPr>
              <w:t>13.405,14</w:t>
            </w:r>
          </w:p>
        </w:tc>
        <w:tc>
          <w:tcPr>
            <w:tcW w:w="1046" w:type="dxa"/>
            <w:shd w:val="clear" w:color="auto" w:fill="F2F2F2" w:themeFill="background1" w:themeFillShade="F2"/>
            <w:vAlign w:val="center"/>
            <w:hideMark/>
          </w:tcPr>
          <w:p w14:paraId="5988AD2B" w14:textId="18BFA1B5" w:rsidR="00502593" w:rsidRPr="002D70FA" w:rsidRDefault="002D70FA" w:rsidP="00502593">
            <w:pPr>
              <w:jc w:val="right"/>
              <w:rPr>
                <w:rFonts w:ascii="Aptos" w:hAnsi="Aptos" w:cs="Calibri"/>
                <w:b/>
                <w:bCs/>
                <w:sz w:val="17"/>
                <w:szCs w:val="17"/>
              </w:rPr>
            </w:pPr>
            <w:r>
              <w:rPr>
                <w:rFonts w:ascii="Aptos" w:hAnsi="Aptos" w:cs="Calibri"/>
                <w:b/>
                <w:bCs/>
                <w:sz w:val="17"/>
                <w:szCs w:val="17"/>
              </w:rPr>
              <w:t>4.281,10</w:t>
            </w:r>
          </w:p>
        </w:tc>
        <w:tc>
          <w:tcPr>
            <w:tcW w:w="939" w:type="dxa"/>
            <w:shd w:val="clear" w:color="auto" w:fill="F2F2F2" w:themeFill="background1" w:themeFillShade="F2"/>
            <w:vAlign w:val="center"/>
            <w:hideMark/>
          </w:tcPr>
          <w:p w14:paraId="6B683684" w14:textId="77777777" w:rsidR="00502593" w:rsidRPr="002D70FA" w:rsidRDefault="00502593" w:rsidP="00502593">
            <w:pPr>
              <w:rPr>
                <w:rFonts w:ascii="Aptos" w:hAnsi="Aptos" w:cs="Calibri"/>
                <w:b/>
                <w:bCs/>
                <w:sz w:val="17"/>
                <w:szCs w:val="17"/>
              </w:rPr>
            </w:pPr>
            <w:r w:rsidRPr="002D70FA">
              <w:rPr>
                <w:rFonts w:ascii="Aptos" w:hAnsi="Aptos" w:cs="Calibri"/>
                <w:b/>
                <w:bCs/>
                <w:sz w:val="17"/>
                <w:szCs w:val="17"/>
              </w:rPr>
              <w:t> </w:t>
            </w:r>
          </w:p>
        </w:tc>
        <w:tc>
          <w:tcPr>
            <w:tcW w:w="1006" w:type="dxa"/>
            <w:shd w:val="clear" w:color="auto" w:fill="F2F2F2" w:themeFill="background1" w:themeFillShade="F2"/>
            <w:vAlign w:val="center"/>
            <w:hideMark/>
          </w:tcPr>
          <w:p w14:paraId="18005560" w14:textId="77777777" w:rsidR="00502593" w:rsidRPr="002D70FA" w:rsidRDefault="00502593" w:rsidP="00502593">
            <w:pPr>
              <w:rPr>
                <w:rFonts w:ascii="Aptos" w:hAnsi="Aptos" w:cs="Calibri"/>
                <w:b/>
                <w:bCs/>
                <w:sz w:val="17"/>
                <w:szCs w:val="17"/>
              </w:rPr>
            </w:pPr>
            <w:r w:rsidRPr="002D70FA">
              <w:rPr>
                <w:rFonts w:ascii="Aptos" w:hAnsi="Aptos" w:cs="Calibri"/>
                <w:b/>
                <w:bCs/>
                <w:sz w:val="17"/>
                <w:szCs w:val="17"/>
              </w:rPr>
              <w:t> </w:t>
            </w:r>
          </w:p>
        </w:tc>
        <w:tc>
          <w:tcPr>
            <w:tcW w:w="2513" w:type="dxa"/>
            <w:shd w:val="clear" w:color="auto" w:fill="F2F2F2" w:themeFill="background1" w:themeFillShade="F2"/>
            <w:vAlign w:val="center"/>
            <w:hideMark/>
          </w:tcPr>
          <w:p w14:paraId="5FD7FB3F" w14:textId="77777777" w:rsidR="00502593" w:rsidRPr="002D70FA" w:rsidRDefault="00502593" w:rsidP="00502593">
            <w:pPr>
              <w:rPr>
                <w:rFonts w:ascii="Aptos" w:hAnsi="Aptos" w:cs="Calibri"/>
                <w:b/>
                <w:bCs/>
                <w:sz w:val="17"/>
                <w:szCs w:val="17"/>
              </w:rPr>
            </w:pPr>
            <w:r w:rsidRPr="002D70FA">
              <w:rPr>
                <w:rFonts w:ascii="Aptos" w:hAnsi="Aptos" w:cs="Calibri"/>
                <w:b/>
                <w:bCs/>
                <w:sz w:val="17"/>
                <w:szCs w:val="17"/>
              </w:rPr>
              <w:t> </w:t>
            </w:r>
          </w:p>
        </w:tc>
        <w:tc>
          <w:tcPr>
            <w:tcW w:w="1134" w:type="dxa"/>
            <w:shd w:val="clear" w:color="auto" w:fill="F2F2F2" w:themeFill="background1" w:themeFillShade="F2"/>
            <w:noWrap/>
            <w:vAlign w:val="center"/>
            <w:hideMark/>
          </w:tcPr>
          <w:p w14:paraId="7BCE82A4" w14:textId="64BF509F" w:rsidR="00502593" w:rsidRPr="002D70FA" w:rsidRDefault="002D70FA" w:rsidP="00502593">
            <w:pPr>
              <w:jc w:val="right"/>
              <w:rPr>
                <w:rFonts w:ascii="Aptos" w:hAnsi="Aptos" w:cs="Calibri"/>
                <w:b/>
                <w:bCs/>
                <w:sz w:val="17"/>
                <w:szCs w:val="17"/>
              </w:rPr>
            </w:pPr>
            <w:r>
              <w:rPr>
                <w:rFonts w:ascii="Aptos" w:hAnsi="Aptos" w:cs="Calibri"/>
                <w:b/>
                <w:bCs/>
                <w:sz w:val="17"/>
                <w:szCs w:val="17"/>
              </w:rPr>
              <w:t>17.686,24</w:t>
            </w:r>
          </w:p>
        </w:tc>
        <w:tc>
          <w:tcPr>
            <w:tcW w:w="1002" w:type="dxa"/>
            <w:shd w:val="clear" w:color="auto" w:fill="F2F2F2" w:themeFill="background1" w:themeFillShade="F2"/>
            <w:noWrap/>
            <w:vAlign w:val="center"/>
            <w:hideMark/>
          </w:tcPr>
          <w:p w14:paraId="3151AAFA" w14:textId="77777777" w:rsidR="00502593" w:rsidRPr="002D70FA" w:rsidRDefault="00502593" w:rsidP="00502593">
            <w:pPr>
              <w:rPr>
                <w:rFonts w:ascii="Aptos" w:hAnsi="Aptos" w:cs="Calibri"/>
                <w:b/>
                <w:bCs/>
                <w:sz w:val="17"/>
                <w:szCs w:val="17"/>
              </w:rPr>
            </w:pPr>
            <w:r w:rsidRPr="002D70FA">
              <w:rPr>
                <w:rFonts w:ascii="Aptos" w:hAnsi="Aptos" w:cs="Calibri"/>
                <w:b/>
                <w:bCs/>
                <w:sz w:val="17"/>
                <w:szCs w:val="17"/>
              </w:rPr>
              <w:t> </w:t>
            </w:r>
          </w:p>
        </w:tc>
      </w:tr>
    </w:tbl>
    <w:p w14:paraId="05E2456E" w14:textId="35C17AEF" w:rsidR="00D57BCF" w:rsidRPr="00DD01B2" w:rsidRDefault="009958BA" w:rsidP="00D57BCF">
      <w:pPr>
        <w:spacing w:before="60" w:after="60"/>
        <w:ind w:left="-425" w:right="-380" w:firstLine="284"/>
        <w:jc w:val="both"/>
        <w:rPr>
          <w:rFonts w:ascii="Aptos" w:hAnsi="Aptos" w:cstheme="minorHAnsi"/>
          <w:sz w:val="21"/>
          <w:szCs w:val="21"/>
        </w:rPr>
      </w:pPr>
      <w:r w:rsidRPr="00DD01B2">
        <w:rPr>
          <w:rFonts w:ascii="Aptos" w:hAnsi="Aptos" w:cstheme="minorHAnsi"/>
          <w:sz w:val="21"/>
          <w:szCs w:val="21"/>
        </w:rPr>
        <w:t>Stanje potencijalnih primitaka po osnovi ovršnog postupka na nekretninama i postupka utvrđivanja komunalnog doprinosa iznos</w:t>
      </w:r>
      <w:r w:rsidR="00D57BCF" w:rsidRPr="00DD01B2">
        <w:rPr>
          <w:rFonts w:ascii="Aptos" w:hAnsi="Aptos" w:cstheme="minorHAnsi"/>
          <w:sz w:val="21"/>
          <w:szCs w:val="21"/>
        </w:rPr>
        <w:t>i</w:t>
      </w:r>
      <w:r w:rsidRPr="00DD01B2">
        <w:rPr>
          <w:rFonts w:ascii="Aptos" w:hAnsi="Aptos" w:cstheme="minorHAnsi"/>
          <w:sz w:val="21"/>
          <w:szCs w:val="21"/>
        </w:rPr>
        <w:t xml:space="preserve"> 322.694,49 </w:t>
      </w:r>
      <w:r w:rsidR="00D57BCF" w:rsidRPr="00DD01B2">
        <w:rPr>
          <w:rFonts w:ascii="Aptos" w:hAnsi="Aptos" w:cstheme="minorHAnsi"/>
          <w:sz w:val="21"/>
          <w:szCs w:val="21"/>
        </w:rPr>
        <w:t>€, a sastoji se od:</w:t>
      </w:r>
    </w:p>
    <w:tbl>
      <w:tblPr>
        <w:tblW w:w="9762" w:type="dxa"/>
        <w:tblInd w:w="-426" w:type="dxa"/>
        <w:shd w:val="clear" w:color="auto" w:fill="FFFFFF" w:themeFill="background1"/>
        <w:tblLayout w:type="fixed"/>
        <w:tblLook w:val="04A0" w:firstRow="1" w:lastRow="0" w:firstColumn="1" w:lastColumn="0" w:noHBand="0" w:noVBand="1"/>
      </w:tblPr>
      <w:tblGrid>
        <w:gridCol w:w="1075"/>
        <w:gridCol w:w="1047"/>
        <w:gridCol w:w="1046"/>
        <w:gridCol w:w="939"/>
        <w:gridCol w:w="1006"/>
        <w:gridCol w:w="2513"/>
        <w:gridCol w:w="1134"/>
        <w:gridCol w:w="1002"/>
      </w:tblGrid>
      <w:tr w:rsidR="00D57BCF" w:rsidRPr="002D70FA" w14:paraId="6985149B" w14:textId="77777777" w:rsidTr="002D70FA">
        <w:trPr>
          <w:trHeight w:val="765"/>
        </w:trPr>
        <w:tc>
          <w:tcPr>
            <w:tcW w:w="1075" w:type="dxa"/>
            <w:shd w:val="clear" w:color="auto" w:fill="F2F2F2" w:themeFill="background1" w:themeFillShade="F2"/>
            <w:vAlign w:val="center"/>
            <w:hideMark/>
          </w:tcPr>
          <w:p w14:paraId="171849D5" w14:textId="77777777" w:rsidR="00D57BCF" w:rsidRPr="002D70FA" w:rsidRDefault="00D57BCF" w:rsidP="00160D02">
            <w:pPr>
              <w:jc w:val="center"/>
              <w:rPr>
                <w:rFonts w:ascii="Aptos" w:hAnsi="Aptos" w:cs="Calibri"/>
                <w:b/>
                <w:bCs/>
                <w:sz w:val="17"/>
                <w:szCs w:val="17"/>
              </w:rPr>
            </w:pPr>
            <w:proofErr w:type="spellStart"/>
            <w:r w:rsidRPr="002D70FA">
              <w:rPr>
                <w:rFonts w:ascii="Aptos" w:hAnsi="Aptos" w:cs="Calibri"/>
                <w:b/>
                <w:bCs/>
                <w:sz w:val="17"/>
                <w:szCs w:val="17"/>
              </w:rPr>
              <w:t>Posl</w:t>
            </w:r>
            <w:proofErr w:type="spellEnd"/>
            <w:r w:rsidRPr="002D70FA">
              <w:rPr>
                <w:rFonts w:ascii="Aptos" w:hAnsi="Aptos" w:cs="Calibri"/>
                <w:b/>
                <w:bCs/>
                <w:sz w:val="17"/>
                <w:szCs w:val="17"/>
              </w:rPr>
              <w:t>. broj</w:t>
            </w:r>
          </w:p>
        </w:tc>
        <w:tc>
          <w:tcPr>
            <w:tcW w:w="1047" w:type="dxa"/>
            <w:shd w:val="clear" w:color="auto" w:fill="F2F2F2" w:themeFill="background1" w:themeFillShade="F2"/>
            <w:vAlign w:val="center"/>
            <w:hideMark/>
          </w:tcPr>
          <w:p w14:paraId="19D53817" w14:textId="77777777" w:rsidR="00D57BCF" w:rsidRPr="002D70FA" w:rsidRDefault="00D57BCF" w:rsidP="00160D02">
            <w:pPr>
              <w:jc w:val="center"/>
              <w:rPr>
                <w:rFonts w:ascii="Aptos" w:hAnsi="Aptos" w:cs="Calibri"/>
                <w:b/>
                <w:bCs/>
                <w:sz w:val="17"/>
                <w:szCs w:val="17"/>
              </w:rPr>
            </w:pPr>
            <w:r w:rsidRPr="002D70FA">
              <w:rPr>
                <w:rFonts w:ascii="Aptos" w:hAnsi="Aptos" w:cs="Calibri"/>
                <w:b/>
                <w:bCs/>
                <w:sz w:val="17"/>
                <w:szCs w:val="17"/>
              </w:rPr>
              <w:t>VPS</w:t>
            </w:r>
          </w:p>
        </w:tc>
        <w:tc>
          <w:tcPr>
            <w:tcW w:w="1046" w:type="dxa"/>
            <w:shd w:val="clear" w:color="auto" w:fill="F2F2F2" w:themeFill="background1" w:themeFillShade="F2"/>
            <w:vAlign w:val="center"/>
            <w:hideMark/>
          </w:tcPr>
          <w:p w14:paraId="23D57751" w14:textId="77777777" w:rsidR="00D57BCF" w:rsidRPr="002D70FA" w:rsidRDefault="00D57BCF" w:rsidP="00160D02">
            <w:pPr>
              <w:jc w:val="center"/>
              <w:rPr>
                <w:rFonts w:ascii="Aptos" w:hAnsi="Aptos" w:cs="Calibri"/>
                <w:b/>
                <w:bCs/>
                <w:sz w:val="17"/>
                <w:szCs w:val="17"/>
              </w:rPr>
            </w:pPr>
            <w:r w:rsidRPr="002D70FA">
              <w:rPr>
                <w:rFonts w:ascii="Aptos" w:hAnsi="Aptos" w:cs="Calibri"/>
                <w:b/>
                <w:bCs/>
                <w:sz w:val="17"/>
                <w:szCs w:val="17"/>
              </w:rPr>
              <w:t>Očekivani zavisni troškovi</w:t>
            </w:r>
          </w:p>
        </w:tc>
        <w:tc>
          <w:tcPr>
            <w:tcW w:w="939" w:type="dxa"/>
            <w:shd w:val="clear" w:color="auto" w:fill="F2F2F2" w:themeFill="background1" w:themeFillShade="F2"/>
            <w:vAlign w:val="center"/>
            <w:hideMark/>
          </w:tcPr>
          <w:p w14:paraId="4F4F114D" w14:textId="77777777" w:rsidR="00D57BCF" w:rsidRPr="002D70FA" w:rsidRDefault="00D57BCF" w:rsidP="00160D02">
            <w:pPr>
              <w:jc w:val="center"/>
              <w:rPr>
                <w:rFonts w:ascii="Aptos" w:hAnsi="Aptos" w:cs="Calibri"/>
                <w:b/>
                <w:bCs/>
                <w:sz w:val="17"/>
                <w:szCs w:val="17"/>
              </w:rPr>
            </w:pPr>
            <w:r w:rsidRPr="002D70FA">
              <w:rPr>
                <w:rFonts w:ascii="Aptos" w:hAnsi="Aptos" w:cs="Calibri"/>
                <w:b/>
                <w:bCs/>
                <w:sz w:val="17"/>
                <w:szCs w:val="17"/>
              </w:rPr>
              <w:t>Tuženik</w:t>
            </w:r>
          </w:p>
        </w:tc>
        <w:tc>
          <w:tcPr>
            <w:tcW w:w="1006" w:type="dxa"/>
            <w:shd w:val="clear" w:color="auto" w:fill="F2F2F2" w:themeFill="background1" w:themeFillShade="F2"/>
            <w:vAlign w:val="center"/>
            <w:hideMark/>
          </w:tcPr>
          <w:p w14:paraId="27579DA0" w14:textId="77777777" w:rsidR="00D57BCF" w:rsidRPr="002D70FA" w:rsidRDefault="00D57BCF" w:rsidP="00160D02">
            <w:pPr>
              <w:jc w:val="center"/>
              <w:rPr>
                <w:rFonts w:ascii="Aptos" w:hAnsi="Aptos" w:cs="Calibri"/>
                <w:b/>
                <w:bCs/>
                <w:sz w:val="17"/>
                <w:szCs w:val="17"/>
              </w:rPr>
            </w:pPr>
            <w:r w:rsidRPr="002D70FA">
              <w:rPr>
                <w:rFonts w:ascii="Aptos" w:hAnsi="Aptos" w:cs="Calibri"/>
                <w:b/>
                <w:bCs/>
                <w:sz w:val="17"/>
                <w:szCs w:val="17"/>
              </w:rPr>
              <w:t>Tužitelj</w:t>
            </w:r>
          </w:p>
        </w:tc>
        <w:tc>
          <w:tcPr>
            <w:tcW w:w="2513" w:type="dxa"/>
            <w:shd w:val="clear" w:color="auto" w:fill="F2F2F2" w:themeFill="background1" w:themeFillShade="F2"/>
            <w:vAlign w:val="center"/>
            <w:hideMark/>
          </w:tcPr>
          <w:p w14:paraId="6746D71E" w14:textId="77777777" w:rsidR="00D57BCF" w:rsidRPr="002D70FA" w:rsidRDefault="00D57BCF" w:rsidP="00160D02">
            <w:pPr>
              <w:jc w:val="center"/>
              <w:rPr>
                <w:rFonts w:ascii="Aptos" w:hAnsi="Aptos" w:cs="Calibri"/>
                <w:b/>
                <w:bCs/>
                <w:sz w:val="17"/>
                <w:szCs w:val="17"/>
              </w:rPr>
            </w:pPr>
            <w:r w:rsidRPr="002D70FA">
              <w:rPr>
                <w:rFonts w:ascii="Aptos" w:hAnsi="Aptos" w:cs="Calibri"/>
                <w:b/>
                <w:bCs/>
                <w:sz w:val="17"/>
                <w:szCs w:val="17"/>
              </w:rPr>
              <w:t>Tijek postupka / napomene</w:t>
            </w:r>
          </w:p>
        </w:tc>
        <w:tc>
          <w:tcPr>
            <w:tcW w:w="1134" w:type="dxa"/>
            <w:shd w:val="clear" w:color="auto" w:fill="F2F2F2" w:themeFill="background1" w:themeFillShade="F2"/>
            <w:vAlign w:val="center"/>
            <w:hideMark/>
          </w:tcPr>
          <w:p w14:paraId="23B78B7E" w14:textId="2503F5FD" w:rsidR="00D57BCF" w:rsidRPr="002D70FA" w:rsidRDefault="00D57BCF" w:rsidP="00160D02">
            <w:pPr>
              <w:jc w:val="center"/>
              <w:rPr>
                <w:rFonts w:ascii="Aptos" w:hAnsi="Aptos" w:cs="Calibri"/>
                <w:b/>
                <w:bCs/>
                <w:sz w:val="17"/>
                <w:szCs w:val="17"/>
              </w:rPr>
            </w:pPr>
            <w:r w:rsidRPr="002D70FA">
              <w:rPr>
                <w:rFonts w:ascii="Aptos" w:hAnsi="Aptos" w:cs="Calibri"/>
                <w:b/>
                <w:bCs/>
                <w:sz w:val="17"/>
                <w:szCs w:val="17"/>
              </w:rPr>
              <w:t xml:space="preserve">Iznos </w:t>
            </w:r>
            <w:proofErr w:type="spellStart"/>
            <w:r w:rsidRPr="002D70FA">
              <w:rPr>
                <w:rFonts w:ascii="Aptos" w:hAnsi="Aptos" w:cs="Calibri"/>
                <w:b/>
                <w:bCs/>
                <w:sz w:val="17"/>
                <w:szCs w:val="17"/>
              </w:rPr>
              <w:t>poten</w:t>
            </w:r>
            <w:r w:rsidR="002D70FA">
              <w:rPr>
                <w:rFonts w:ascii="Aptos" w:hAnsi="Aptos" w:cs="Calibri"/>
                <w:b/>
                <w:bCs/>
                <w:sz w:val="17"/>
                <w:szCs w:val="17"/>
              </w:rPr>
              <w:t>c</w:t>
            </w:r>
            <w:proofErr w:type="spellEnd"/>
            <w:r w:rsidR="002D70FA">
              <w:rPr>
                <w:rFonts w:ascii="Aptos" w:hAnsi="Aptos" w:cs="Calibri"/>
                <w:b/>
                <w:bCs/>
                <w:sz w:val="17"/>
                <w:szCs w:val="17"/>
              </w:rPr>
              <w:t>.</w:t>
            </w:r>
            <w:r w:rsidRPr="002D70FA">
              <w:rPr>
                <w:rFonts w:ascii="Aptos" w:hAnsi="Aptos" w:cs="Calibri"/>
                <w:b/>
                <w:bCs/>
                <w:sz w:val="17"/>
                <w:szCs w:val="17"/>
              </w:rPr>
              <w:t xml:space="preserve"> primitka</w:t>
            </w:r>
          </w:p>
        </w:tc>
        <w:tc>
          <w:tcPr>
            <w:tcW w:w="1002" w:type="dxa"/>
            <w:shd w:val="clear" w:color="auto" w:fill="F2F2F2" w:themeFill="background1" w:themeFillShade="F2"/>
            <w:vAlign w:val="center"/>
            <w:hideMark/>
          </w:tcPr>
          <w:p w14:paraId="536F2256" w14:textId="5453918F" w:rsidR="00D57BCF" w:rsidRPr="002D70FA" w:rsidRDefault="00D57BCF" w:rsidP="00160D02">
            <w:pPr>
              <w:jc w:val="center"/>
              <w:rPr>
                <w:rFonts w:ascii="Aptos" w:hAnsi="Aptos" w:cs="Calibri"/>
                <w:b/>
                <w:bCs/>
                <w:sz w:val="17"/>
                <w:szCs w:val="17"/>
              </w:rPr>
            </w:pPr>
            <w:r w:rsidRPr="002D70FA">
              <w:rPr>
                <w:rFonts w:ascii="Aptos" w:hAnsi="Aptos" w:cs="Calibri"/>
                <w:b/>
                <w:bCs/>
                <w:sz w:val="17"/>
                <w:szCs w:val="17"/>
              </w:rPr>
              <w:t xml:space="preserve">Očekivani rok </w:t>
            </w:r>
            <w:proofErr w:type="spellStart"/>
            <w:r w:rsidRPr="002D70FA">
              <w:rPr>
                <w:rFonts w:ascii="Aptos" w:hAnsi="Aptos" w:cs="Calibri"/>
                <w:b/>
                <w:bCs/>
                <w:sz w:val="17"/>
                <w:szCs w:val="17"/>
              </w:rPr>
              <w:t>realiz</w:t>
            </w:r>
            <w:proofErr w:type="spellEnd"/>
            <w:r w:rsidR="002D70FA">
              <w:rPr>
                <w:rFonts w:ascii="Aptos" w:hAnsi="Aptos" w:cs="Calibri"/>
                <w:b/>
                <w:bCs/>
                <w:sz w:val="17"/>
                <w:szCs w:val="17"/>
              </w:rPr>
              <w:t>.</w:t>
            </w:r>
          </w:p>
        </w:tc>
      </w:tr>
      <w:tr w:rsidR="00D57BCF" w:rsidRPr="002D70FA" w14:paraId="7EF218A1" w14:textId="77777777" w:rsidTr="000640EF">
        <w:trPr>
          <w:trHeight w:val="588"/>
        </w:trPr>
        <w:tc>
          <w:tcPr>
            <w:tcW w:w="1075" w:type="dxa"/>
            <w:shd w:val="clear" w:color="auto" w:fill="FFFFFF" w:themeFill="background1"/>
            <w:vAlign w:val="center"/>
            <w:hideMark/>
          </w:tcPr>
          <w:p w14:paraId="31747692" w14:textId="6EB09B1B" w:rsidR="00D57BCF" w:rsidRPr="002D70FA" w:rsidRDefault="00D57BCF" w:rsidP="00160D02">
            <w:pPr>
              <w:rPr>
                <w:rFonts w:ascii="Aptos" w:hAnsi="Aptos" w:cs="Calibri"/>
                <w:sz w:val="17"/>
                <w:szCs w:val="17"/>
              </w:rPr>
            </w:pPr>
            <w:r w:rsidRPr="002D70FA">
              <w:rPr>
                <w:rFonts w:ascii="Aptos" w:hAnsi="Aptos" w:cs="Calibri"/>
                <w:sz w:val="17"/>
                <w:szCs w:val="17"/>
              </w:rPr>
              <w:t>Općinski sud u Virovitici Ovr-185/18</w:t>
            </w:r>
          </w:p>
        </w:tc>
        <w:tc>
          <w:tcPr>
            <w:tcW w:w="1047" w:type="dxa"/>
            <w:shd w:val="clear" w:color="auto" w:fill="FFFFFF" w:themeFill="background1"/>
            <w:vAlign w:val="center"/>
            <w:hideMark/>
          </w:tcPr>
          <w:p w14:paraId="5BF586F8" w14:textId="62FC064F" w:rsidR="00D57BCF" w:rsidRPr="002D70FA" w:rsidRDefault="00D57BCF" w:rsidP="00160D02">
            <w:pPr>
              <w:jc w:val="right"/>
              <w:rPr>
                <w:rFonts w:ascii="Aptos" w:hAnsi="Aptos" w:cs="Calibri"/>
                <w:sz w:val="17"/>
                <w:szCs w:val="17"/>
              </w:rPr>
            </w:pPr>
            <w:r w:rsidRPr="002D70FA">
              <w:rPr>
                <w:rFonts w:ascii="Aptos" w:hAnsi="Aptos" w:cs="Calibri"/>
                <w:sz w:val="17"/>
                <w:szCs w:val="17"/>
              </w:rPr>
              <w:t>16.775,78</w:t>
            </w:r>
          </w:p>
        </w:tc>
        <w:tc>
          <w:tcPr>
            <w:tcW w:w="1046" w:type="dxa"/>
            <w:shd w:val="clear" w:color="auto" w:fill="FFFFFF" w:themeFill="background1"/>
            <w:vAlign w:val="center"/>
            <w:hideMark/>
          </w:tcPr>
          <w:p w14:paraId="7547C051" w14:textId="7F2A837F" w:rsidR="00D57BCF" w:rsidRPr="002D70FA" w:rsidRDefault="00D57BCF" w:rsidP="00160D02">
            <w:pPr>
              <w:jc w:val="right"/>
              <w:rPr>
                <w:rFonts w:ascii="Aptos" w:hAnsi="Aptos" w:cs="Calibri"/>
                <w:sz w:val="17"/>
                <w:szCs w:val="17"/>
              </w:rPr>
            </w:pPr>
            <w:r w:rsidRPr="002D70FA">
              <w:rPr>
                <w:rFonts w:ascii="Aptos" w:hAnsi="Aptos" w:cs="Calibri"/>
                <w:sz w:val="17"/>
                <w:szCs w:val="17"/>
              </w:rPr>
              <w:t>0,00</w:t>
            </w:r>
          </w:p>
        </w:tc>
        <w:tc>
          <w:tcPr>
            <w:tcW w:w="939" w:type="dxa"/>
            <w:shd w:val="clear" w:color="auto" w:fill="FFFFFF" w:themeFill="background1"/>
            <w:vAlign w:val="center"/>
            <w:hideMark/>
          </w:tcPr>
          <w:p w14:paraId="5CA9D6AA" w14:textId="4F8A21D8" w:rsidR="00D57BCF" w:rsidRPr="002D70FA" w:rsidRDefault="00D57BCF" w:rsidP="00160D02">
            <w:pPr>
              <w:jc w:val="center"/>
              <w:rPr>
                <w:rFonts w:ascii="Aptos" w:hAnsi="Aptos" w:cs="Calibri"/>
                <w:sz w:val="17"/>
                <w:szCs w:val="17"/>
              </w:rPr>
            </w:pPr>
            <w:r w:rsidRPr="002D70FA">
              <w:rPr>
                <w:rFonts w:ascii="Aptos" w:hAnsi="Aptos" w:cs="Calibri"/>
                <w:sz w:val="17"/>
                <w:szCs w:val="17"/>
              </w:rPr>
              <w:t>A.A</w:t>
            </w:r>
          </w:p>
        </w:tc>
        <w:tc>
          <w:tcPr>
            <w:tcW w:w="1006" w:type="dxa"/>
            <w:shd w:val="clear" w:color="auto" w:fill="FFFFFF" w:themeFill="background1"/>
            <w:vAlign w:val="center"/>
            <w:hideMark/>
          </w:tcPr>
          <w:p w14:paraId="7A9D1FAE" w14:textId="669E1694" w:rsidR="00D57BCF" w:rsidRPr="002D70FA" w:rsidRDefault="00D57BCF" w:rsidP="00160D02">
            <w:pPr>
              <w:jc w:val="center"/>
              <w:rPr>
                <w:rFonts w:ascii="Aptos" w:hAnsi="Aptos" w:cs="Calibri"/>
                <w:sz w:val="17"/>
                <w:szCs w:val="17"/>
              </w:rPr>
            </w:pPr>
            <w:r w:rsidRPr="002D70FA">
              <w:rPr>
                <w:rFonts w:ascii="Aptos" w:hAnsi="Aptos" w:cs="Calibri"/>
                <w:sz w:val="17"/>
                <w:szCs w:val="17"/>
              </w:rPr>
              <w:t>Grad Bakar</w:t>
            </w:r>
          </w:p>
        </w:tc>
        <w:tc>
          <w:tcPr>
            <w:tcW w:w="2513" w:type="dxa"/>
            <w:shd w:val="clear" w:color="auto" w:fill="FFFFFF" w:themeFill="background1"/>
            <w:vAlign w:val="center"/>
            <w:hideMark/>
          </w:tcPr>
          <w:p w14:paraId="78D553F0" w14:textId="78C970DF" w:rsidR="00D57BCF" w:rsidRPr="002D70FA" w:rsidRDefault="00D57BCF" w:rsidP="00160D02">
            <w:pPr>
              <w:rPr>
                <w:rFonts w:ascii="Aptos" w:hAnsi="Aptos" w:cs="Calibri"/>
                <w:sz w:val="17"/>
                <w:szCs w:val="17"/>
              </w:rPr>
            </w:pPr>
            <w:r w:rsidRPr="002D70FA">
              <w:rPr>
                <w:rFonts w:ascii="Aptos" w:hAnsi="Aptos" w:cs="Calibri"/>
                <w:color w:val="000000"/>
                <w:sz w:val="17"/>
                <w:szCs w:val="17"/>
              </w:rPr>
              <w:t>Ovršni postupak na nekretninama</w:t>
            </w:r>
          </w:p>
        </w:tc>
        <w:tc>
          <w:tcPr>
            <w:tcW w:w="1134" w:type="dxa"/>
            <w:shd w:val="clear" w:color="auto" w:fill="FFFFFF" w:themeFill="background1"/>
            <w:noWrap/>
            <w:vAlign w:val="center"/>
            <w:hideMark/>
          </w:tcPr>
          <w:p w14:paraId="2B021699" w14:textId="5034AF64" w:rsidR="00D57BCF" w:rsidRPr="002D70FA" w:rsidRDefault="00D57BCF" w:rsidP="00160D02">
            <w:pPr>
              <w:jc w:val="right"/>
              <w:rPr>
                <w:rFonts w:ascii="Aptos" w:hAnsi="Aptos" w:cs="Calibri"/>
                <w:sz w:val="17"/>
                <w:szCs w:val="17"/>
              </w:rPr>
            </w:pPr>
            <w:r w:rsidRPr="002D70FA">
              <w:rPr>
                <w:rFonts w:ascii="Aptos" w:hAnsi="Aptos" w:cs="Calibri"/>
                <w:sz w:val="17"/>
                <w:szCs w:val="17"/>
              </w:rPr>
              <w:t>16.775,78</w:t>
            </w:r>
          </w:p>
        </w:tc>
        <w:tc>
          <w:tcPr>
            <w:tcW w:w="1002" w:type="dxa"/>
            <w:shd w:val="clear" w:color="auto" w:fill="FFFFFF" w:themeFill="background1"/>
            <w:vAlign w:val="center"/>
            <w:hideMark/>
          </w:tcPr>
          <w:p w14:paraId="0A29C187" w14:textId="071C95EF" w:rsidR="00D57BCF" w:rsidRPr="002D70FA" w:rsidRDefault="00D57BCF" w:rsidP="00160D02">
            <w:pPr>
              <w:jc w:val="center"/>
              <w:rPr>
                <w:rFonts w:ascii="Aptos" w:hAnsi="Aptos" w:cs="Calibri"/>
                <w:sz w:val="17"/>
                <w:szCs w:val="17"/>
              </w:rPr>
            </w:pPr>
            <w:r w:rsidRPr="002D70FA">
              <w:rPr>
                <w:rFonts w:ascii="Aptos" w:hAnsi="Aptos" w:cs="Calibri"/>
                <w:sz w:val="17"/>
                <w:szCs w:val="17"/>
              </w:rPr>
              <w:t>5 godina</w:t>
            </w:r>
          </w:p>
        </w:tc>
      </w:tr>
      <w:tr w:rsidR="00D57BCF" w:rsidRPr="002D70FA" w14:paraId="6EEC60BC" w14:textId="77777777" w:rsidTr="000640EF">
        <w:trPr>
          <w:trHeight w:val="734"/>
        </w:trPr>
        <w:tc>
          <w:tcPr>
            <w:tcW w:w="1075" w:type="dxa"/>
            <w:shd w:val="clear" w:color="auto" w:fill="FFFFFF" w:themeFill="background1"/>
            <w:vAlign w:val="center"/>
          </w:tcPr>
          <w:p w14:paraId="28A7C85C" w14:textId="50713179" w:rsidR="00D57BCF" w:rsidRPr="002D70FA" w:rsidRDefault="00D57BCF" w:rsidP="00D57BCF">
            <w:pPr>
              <w:rPr>
                <w:rFonts w:ascii="Aptos" w:hAnsi="Aptos" w:cs="Calibri"/>
                <w:sz w:val="17"/>
                <w:szCs w:val="17"/>
              </w:rPr>
            </w:pPr>
            <w:r w:rsidRPr="002D70FA">
              <w:rPr>
                <w:rFonts w:ascii="Aptos" w:hAnsi="Aptos" w:cs="Calibri"/>
                <w:sz w:val="17"/>
                <w:szCs w:val="17"/>
              </w:rPr>
              <w:t>Upravni sud u Rijeci, P-1469/2023</w:t>
            </w:r>
          </w:p>
        </w:tc>
        <w:tc>
          <w:tcPr>
            <w:tcW w:w="1047" w:type="dxa"/>
            <w:shd w:val="clear" w:color="auto" w:fill="FFFFFF" w:themeFill="background1"/>
            <w:vAlign w:val="center"/>
          </w:tcPr>
          <w:p w14:paraId="47BE2C3E" w14:textId="0A715F25" w:rsidR="00D57BCF" w:rsidRPr="002D70FA" w:rsidRDefault="00D57BCF" w:rsidP="00D57BCF">
            <w:pPr>
              <w:jc w:val="right"/>
              <w:rPr>
                <w:rFonts w:ascii="Aptos" w:hAnsi="Aptos" w:cs="Calibri"/>
                <w:sz w:val="17"/>
                <w:szCs w:val="17"/>
              </w:rPr>
            </w:pPr>
            <w:r w:rsidRPr="002D70FA">
              <w:rPr>
                <w:rFonts w:ascii="Aptos" w:hAnsi="Aptos" w:cs="Calibri"/>
                <w:sz w:val="17"/>
                <w:szCs w:val="17"/>
              </w:rPr>
              <w:t>305.918,71</w:t>
            </w:r>
          </w:p>
        </w:tc>
        <w:tc>
          <w:tcPr>
            <w:tcW w:w="1046" w:type="dxa"/>
            <w:shd w:val="clear" w:color="auto" w:fill="FFFFFF" w:themeFill="background1"/>
            <w:vAlign w:val="center"/>
          </w:tcPr>
          <w:p w14:paraId="65B4108D" w14:textId="2D7DAF26" w:rsidR="00D57BCF" w:rsidRPr="002D70FA" w:rsidRDefault="00D57BCF" w:rsidP="00D57BCF">
            <w:pPr>
              <w:jc w:val="right"/>
              <w:rPr>
                <w:rFonts w:ascii="Aptos" w:hAnsi="Aptos" w:cs="Calibri"/>
                <w:sz w:val="17"/>
                <w:szCs w:val="17"/>
              </w:rPr>
            </w:pPr>
            <w:r w:rsidRPr="002D70FA">
              <w:rPr>
                <w:rFonts w:ascii="Aptos" w:hAnsi="Aptos" w:cs="Calibri"/>
                <w:sz w:val="17"/>
                <w:szCs w:val="17"/>
              </w:rPr>
              <w:t>0,00</w:t>
            </w:r>
          </w:p>
        </w:tc>
        <w:tc>
          <w:tcPr>
            <w:tcW w:w="939" w:type="dxa"/>
            <w:shd w:val="clear" w:color="auto" w:fill="FFFFFF" w:themeFill="background1"/>
            <w:vAlign w:val="center"/>
          </w:tcPr>
          <w:p w14:paraId="47EBDCBF" w14:textId="2428CA52" w:rsidR="00D57BCF" w:rsidRPr="002D70FA" w:rsidRDefault="00D57BCF" w:rsidP="00D57BCF">
            <w:pPr>
              <w:jc w:val="center"/>
              <w:rPr>
                <w:rFonts w:ascii="Aptos" w:hAnsi="Aptos" w:cs="Calibri"/>
                <w:sz w:val="17"/>
                <w:szCs w:val="17"/>
              </w:rPr>
            </w:pPr>
            <w:r w:rsidRPr="002D70FA">
              <w:rPr>
                <w:rFonts w:ascii="Aptos" w:hAnsi="Aptos" w:cs="Calibri"/>
                <w:sz w:val="17"/>
                <w:szCs w:val="17"/>
              </w:rPr>
              <w:t>Grad Bakar</w:t>
            </w:r>
          </w:p>
        </w:tc>
        <w:tc>
          <w:tcPr>
            <w:tcW w:w="1006" w:type="dxa"/>
            <w:shd w:val="clear" w:color="auto" w:fill="FFFFFF" w:themeFill="background1"/>
            <w:vAlign w:val="center"/>
          </w:tcPr>
          <w:p w14:paraId="3E8057F7" w14:textId="4BE66F86" w:rsidR="00D57BCF" w:rsidRPr="002D70FA" w:rsidRDefault="00D57BCF" w:rsidP="00D57BCF">
            <w:pPr>
              <w:jc w:val="center"/>
              <w:rPr>
                <w:rFonts w:ascii="Aptos" w:hAnsi="Aptos" w:cs="Calibri"/>
                <w:sz w:val="17"/>
                <w:szCs w:val="17"/>
              </w:rPr>
            </w:pPr>
            <w:r w:rsidRPr="002D70FA">
              <w:rPr>
                <w:rFonts w:ascii="Aptos" w:hAnsi="Aptos" w:cs="Calibri"/>
                <w:sz w:val="17"/>
                <w:szCs w:val="17"/>
              </w:rPr>
              <w:t>JGL d.d. Rijeka</w:t>
            </w:r>
          </w:p>
        </w:tc>
        <w:tc>
          <w:tcPr>
            <w:tcW w:w="2513" w:type="dxa"/>
            <w:shd w:val="clear" w:color="auto" w:fill="FFFFFF" w:themeFill="background1"/>
            <w:vAlign w:val="center"/>
          </w:tcPr>
          <w:p w14:paraId="5CBB6AA2" w14:textId="3027A325" w:rsidR="00D57BCF" w:rsidRPr="002D70FA" w:rsidRDefault="00D57BCF" w:rsidP="00D57BCF">
            <w:pPr>
              <w:rPr>
                <w:rFonts w:ascii="Aptos" w:hAnsi="Aptos" w:cs="Calibri"/>
                <w:sz w:val="17"/>
                <w:szCs w:val="17"/>
              </w:rPr>
            </w:pPr>
            <w:r w:rsidRPr="002D70FA">
              <w:rPr>
                <w:rFonts w:ascii="Aptos" w:hAnsi="Aptos" w:cs="Calibri"/>
                <w:sz w:val="17"/>
                <w:szCs w:val="17"/>
              </w:rPr>
              <w:t>Žalba na presudu Upravnog suda u Rijeci u postupku utvrđivanja komunalnog doprinosa</w:t>
            </w:r>
          </w:p>
        </w:tc>
        <w:tc>
          <w:tcPr>
            <w:tcW w:w="1134" w:type="dxa"/>
            <w:shd w:val="clear" w:color="auto" w:fill="FFFFFF" w:themeFill="background1"/>
            <w:noWrap/>
            <w:vAlign w:val="center"/>
          </w:tcPr>
          <w:p w14:paraId="1CF6A2C5" w14:textId="52DD80EA" w:rsidR="00D57BCF" w:rsidRPr="002D70FA" w:rsidRDefault="00D57BCF" w:rsidP="00D57BCF">
            <w:pPr>
              <w:jc w:val="right"/>
              <w:rPr>
                <w:rFonts w:ascii="Aptos" w:hAnsi="Aptos" w:cs="Calibri"/>
                <w:sz w:val="17"/>
                <w:szCs w:val="17"/>
              </w:rPr>
            </w:pPr>
            <w:r w:rsidRPr="002D70FA">
              <w:rPr>
                <w:rFonts w:ascii="Aptos" w:hAnsi="Aptos" w:cs="Calibri"/>
                <w:sz w:val="17"/>
                <w:szCs w:val="17"/>
              </w:rPr>
              <w:t>305.918,71</w:t>
            </w:r>
          </w:p>
        </w:tc>
        <w:tc>
          <w:tcPr>
            <w:tcW w:w="1002" w:type="dxa"/>
            <w:shd w:val="clear" w:color="auto" w:fill="FFFFFF" w:themeFill="background1"/>
            <w:vAlign w:val="center"/>
          </w:tcPr>
          <w:p w14:paraId="3CCF11D8" w14:textId="5B3A5DC0" w:rsidR="00D57BCF" w:rsidRPr="002D70FA" w:rsidRDefault="00D57BCF" w:rsidP="00D57BCF">
            <w:pPr>
              <w:jc w:val="center"/>
              <w:rPr>
                <w:rFonts w:ascii="Aptos" w:hAnsi="Aptos" w:cs="Calibri"/>
                <w:sz w:val="17"/>
                <w:szCs w:val="17"/>
              </w:rPr>
            </w:pPr>
            <w:r w:rsidRPr="002D70FA">
              <w:rPr>
                <w:rFonts w:ascii="Aptos" w:hAnsi="Aptos" w:cs="Calibri"/>
                <w:sz w:val="17"/>
                <w:szCs w:val="17"/>
              </w:rPr>
              <w:t>1 godina</w:t>
            </w:r>
          </w:p>
        </w:tc>
      </w:tr>
      <w:tr w:rsidR="00D57BCF" w:rsidRPr="002D70FA" w14:paraId="167EC8B1" w14:textId="77777777" w:rsidTr="002D70FA">
        <w:trPr>
          <w:trHeight w:val="560"/>
        </w:trPr>
        <w:tc>
          <w:tcPr>
            <w:tcW w:w="1075" w:type="dxa"/>
            <w:shd w:val="clear" w:color="auto" w:fill="F2F2F2" w:themeFill="background1" w:themeFillShade="F2"/>
            <w:vAlign w:val="center"/>
          </w:tcPr>
          <w:p w14:paraId="09470E42" w14:textId="62AFA037" w:rsidR="00D57BCF" w:rsidRPr="002D70FA" w:rsidRDefault="00D57BCF" w:rsidP="00D57BCF">
            <w:pPr>
              <w:rPr>
                <w:rFonts w:ascii="Aptos" w:hAnsi="Aptos" w:cs="Calibri"/>
                <w:sz w:val="17"/>
                <w:szCs w:val="17"/>
              </w:rPr>
            </w:pPr>
            <w:r w:rsidRPr="002D70FA">
              <w:rPr>
                <w:rFonts w:ascii="Aptos" w:hAnsi="Aptos" w:cs="Calibri"/>
                <w:b/>
                <w:bCs/>
                <w:sz w:val="17"/>
                <w:szCs w:val="17"/>
              </w:rPr>
              <w:t> UKUPNO</w:t>
            </w:r>
          </w:p>
        </w:tc>
        <w:tc>
          <w:tcPr>
            <w:tcW w:w="1047" w:type="dxa"/>
            <w:shd w:val="clear" w:color="auto" w:fill="F2F2F2" w:themeFill="background1" w:themeFillShade="F2"/>
            <w:vAlign w:val="center"/>
          </w:tcPr>
          <w:p w14:paraId="05FAB434" w14:textId="748F3E29" w:rsidR="00D57BCF" w:rsidRPr="002D70FA" w:rsidRDefault="00D57BCF" w:rsidP="00D57BCF">
            <w:pPr>
              <w:jc w:val="right"/>
              <w:rPr>
                <w:rFonts w:ascii="Aptos" w:hAnsi="Aptos" w:cs="Calibri"/>
                <w:sz w:val="17"/>
                <w:szCs w:val="17"/>
              </w:rPr>
            </w:pPr>
            <w:r w:rsidRPr="002D70FA">
              <w:rPr>
                <w:rFonts w:ascii="Aptos" w:hAnsi="Aptos" w:cs="Calibri"/>
                <w:b/>
                <w:bCs/>
                <w:sz w:val="17"/>
                <w:szCs w:val="17"/>
              </w:rPr>
              <w:t>322.694,49</w:t>
            </w:r>
          </w:p>
        </w:tc>
        <w:tc>
          <w:tcPr>
            <w:tcW w:w="1046" w:type="dxa"/>
            <w:shd w:val="clear" w:color="auto" w:fill="F2F2F2" w:themeFill="background1" w:themeFillShade="F2"/>
            <w:vAlign w:val="center"/>
          </w:tcPr>
          <w:p w14:paraId="7DDFD82A" w14:textId="15080FB2" w:rsidR="00D57BCF" w:rsidRPr="002D70FA" w:rsidRDefault="00D57BCF" w:rsidP="00D57BCF">
            <w:pPr>
              <w:jc w:val="right"/>
              <w:rPr>
                <w:rFonts w:ascii="Aptos" w:hAnsi="Aptos" w:cs="Calibri"/>
                <w:sz w:val="17"/>
                <w:szCs w:val="17"/>
              </w:rPr>
            </w:pPr>
            <w:r w:rsidRPr="002D70FA">
              <w:rPr>
                <w:rFonts w:ascii="Aptos" w:hAnsi="Aptos" w:cs="Calibri"/>
                <w:b/>
                <w:bCs/>
                <w:sz w:val="17"/>
                <w:szCs w:val="17"/>
              </w:rPr>
              <w:t>0,00</w:t>
            </w:r>
          </w:p>
        </w:tc>
        <w:tc>
          <w:tcPr>
            <w:tcW w:w="939" w:type="dxa"/>
            <w:shd w:val="clear" w:color="auto" w:fill="F2F2F2" w:themeFill="background1" w:themeFillShade="F2"/>
            <w:vAlign w:val="center"/>
          </w:tcPr>
          <w:p w14:paraId="0F74B76E" w14:textId="21B6E4EF" w:rsidR="00D57BCF" w:rsidRPr="002D70FA" w:rsidRDefault="00D57BCF" w:rsidP="00D57BCF">
            <w:pPr>
              <w:jc w:val="center"/>
              <w:rPr>
                <w:rFonts w:ascii="Aptos" w:hAnsi="Aptos" w:cs="Calibri"/>
                <w:sz w:val="17"/>
                <w:szCs w:val="17"/>
              </w:rPr>
            </w:pPr>
            <w:r w:rsidRPr="002D70FA">
              <w:rPr>
                <w:rFonts w:ascii="Aptos" w:hAnsi="Aptos" w:cs="Calibri"/>
                <w:b/>
                <w:bCs/>
                <w:sz w:val="17"/>
                <w:szCs w:val="17"/>
              </w:rPr>
              <w:t> </w:t>
            </w:r>
          </w:p>
        </w:tc>
        <w:tc>
          <w:tcPr>
            <w:tcW w:w="1006" w:type="dxa"/>
            <w:shd w:val="clear" w:color="auto" w:fill="F2F2F2" w:themeFill="background1" w:themeFillShade="F2"/>
            <w:vAlign w:val="center"/>
          </w:tcPr>
          <w:p w14:paraId="0BADA066" w14:textId="007959CD" w:rsidR="00D57BCF" w:rsidRPr="002D70FA" w:rsidRDefault="00D57BCF" w:rsidP="00D57BCF">
            <w:pPr>
              <w:jc w:val="center"/>
              <w:rPr>
                <w:rFonts w:ascii="Aptos" w:hAnsi="Aptos" w:cs="Calibri"/>
                <w:sz w:val="17"/>
                <w:szCs w:val="17"/>
              </w:rPr>
            </w:pPr>
            <w:r w:rsidRPr="002D70FA">
              <w:rPr>
                <w:rFonts w:ascii="Aptos" w:hAnsi="Aptos" w:cs="Calibri"/>
                <w:b/>
                <w:bCs/>
                <w:sz w:val="17"/>
                <w:szCs w:val="17"/>
              </w:rPr>
              <w:t> </w:t>
            </w:r>
          </w:p>
        </w:tc>
        <w:tc>
          <w:tcPr>
            <w:tcW w:w="2513" w:type="dxa"/>
            <w:shd w:val="clear" w:color="auto" w:fill="F2F2F2" w:themeFill="background1" w:themeFillShade="F2"/>
            <w:vAlign w:val="center"/>
          </w:tcPr>
          <w:p w14:paraId="1EEF2DB1" w14:textId="4A76D10F" w:rsidR="00D57BCF" w:rsidRPr="002D70FA" w:rsidRDefault="00D57BCF" w:rsidP="00D57BCF">
            <w:pPr>
              <w:rPr>
                <w:rFonts w:ascii="Aptos" w:hAnsi="Aptos" w:cs="Calibri"/>
                <w:sz w:val="17"/>
                <w:szCs w:val="17"/>
              </w:rPr>
            </w:pPr>
            <w:r w:rsidRPr="002D70FA">
              <w:rPr>
                <w:rFonts w:ascii="Aptos" w:hAnsi="Aptos" w:cs="Calibri"/>
                <w:b/>
                <w:bCs/>
                <w:sz w:val="17"/>
                <w:szCs w:val="17"/>
              </w:rPr>
              <w:t> </w:t>
            </w:r>
          </w:p>
        </w:tc>
        <w:tc>
          <w:tcPr>
            <w:tcW w:w="1134" w:type="dxa"/>
            <w:shd w:val="clear" w:color="auto" w:fill="F2F2F2" w:themeFill="background1" w:themeFillShade="F2"/>
            <w:noWrap/>
            <w:vAlign w:val="center"/>
          </w:tcPr>
          <w:p w14:paraId="58B8A176" w14:textId="56402DA4" w:rsidR="00D57BCF" w:rsidRPr="002D70FA" w:rsidRDefault="00D57BCF" w:rsidP="00D57BCF">
            <w:pPr>
              <w:jc w:val="right"/>
              <w:rPr>
                <w:rFonts w:ascii="Aptos" w:hAnsi="Aptos" w:cs="Calibri"/>
                <w:sz w:val="17"/>
                <w:szCs w:val="17"/>
              </w:rPr>
            </w:pPr>
            <w:r w:rsidRPr="002D70FA">
              <w:rPr>
                <w:rFonts w:ascii="Aptos" w:hAnsi="Aptos" w:cs="Calibri"/>
                <w:b/>
                <w:bCs/>
                <w:sz w:val="17"/>
                <w:szCs w:val="17"/>
              </w:rPr>
              <w:t>322.694,49</w:t>
            </w:r>
          </w:p>
        </w:tc>
        <w:tc>
          <w:tcPr>
            <w:tcW w:w="1002" w:type="dxa"/>
            <w:shd w:val="clear" w:color="auto" w:fill="F2F2F2" w:themeFill="background1" w:themeFillShade="F2"/>
            <w:vAlign w:val="center"/>
          </w:tcPr>
          <w:p w14:paraId="3E17149E" w14:textId="4AF56CA0" w:rsidR="00D57BCF" w:rsidRPr="002D70FA" w:rsidRDefault="00D57BCF" w:rsidP="00D57BCF">
            <w:pPr>
              <w:jc w:val="center"/>
              <w:rPr>
                <w:rFonts w:ascii="Aptos" w:hAnsi="Aptos" w:cs="Calibri"/>
                <w:sz w:val="17"/>
                <w:szCs w:val="17"/>
              </w:rPr>
            </w:pPr>
            <w:r w:rsidRPr="002D70FA">
              <w:rPr>
                <w:rFonts w:ascii="Aptos" w:hAnsi="Aptos" w:cs="Calibri"/>
                <w:b/>
                <w:bCs/>
                <w:sz w:val="17"/>
                <w:szCs w:val="17"/>
              </w:rPr>
              <w:t> </w:t>
            </w:r>
          </w:p>
        </w:tc>
      </w:tr>
    </w:tbl>
    <w:p w14:paraId="3DC010D3" w14:textId="77777777" w:rsidR="002D70FA" w:rsidRPr="00DD01B2" w:rsidRDefault="002D70FA" w:rsidP="00046692">
      <w:pPr>
        <w:pStyle w:val="Uvuenotijeloteksta"/>
        <w:tabs>
          <w:tab w:val="left" w:pos="360"/>
        </w:tabs>
        <w:spacing w:before="60" w:after="60"/>
        <w:ind w:right="-567" w:firstLine="0"/>
        <w:rPr>
          <w:rFonts w:ascii="Aptos" w:hAnsi="Aptos"/>
          <w:color w:val="FF0000"/>
          <w:sz w:val="21"/>
          <w:szCs w:val="21"/>
        </w:rPr>
      </w:pPr>
    </w:p>
    <w:p w14:paraId="4C7FF243" w14:textId="3ADEC62E" w:rsidR="002D70FA" w:rsidRPr="00742B06" w:rsidRDefault="0097188E" w:rsidP="00742B06">
      <w:pPr>
        <w:shd w:val="clear" w:color="auto" w:fill="D9D9D9" w:themeFill="background1" w:themeFillShade="D9"/>
        <w:spacing w:before="60" w:after="60"/>
        <w:ind w:left="-425" w:right="-380"/>
        <w:jc w:val="both"/>
        <w:rPr>
          <w:rFonts w:ascii="Aptos" w:hAnsi="Aptos" w:cstheme="minorHAnsi"/>
          <w:b/>
          <w:sz w:val="21"/>
          <w:szCs w:val="21"/>
        </w:rPr>
      </w:pPr>
      <w:r w:rsidRPr="00C378DF">
        <w:rPr>
          <w:rFonts w:ascii="Aptos" w:hAnsi="Aptos" w:cstheme="minorHAnsi"/>
          <w:b/>
          <w:sz w:val="21"/>
          <w:szCs w:val="21"/>
        </w:rPr>
        <w:t>C</w:t>
      </w:r>
      <w:r w:rsidR="006202F0" w:rsidRPr="00C378DF">
        <w:rPr>
          <w:rFonts w:ascii="Aptos" w:hAnsi="Aptos" w:cstheme="minorHAnsi"/>
          <w:b/>
          <w:sz w:val="21"/>
          <w:szCs w:val="21"/>
        </w:rPr>
        <w:t>/  BILJEŠKE UZ</w:t>
      </w:r>
      <w:r w:rsidR="00336844" w:rsidRPr="00C378DF">
        <w:rPr>
          <w:rFonts w:ascii="Aptos" w:hAnsi="Aptos" w:cstheme="minorHAnsi"/>
          <w:b/>
          <w:sz w:val="21"/>
          <w:szCs w:val="21"/>
        </w:rPr>
        <w:t xml:space="preserve"> IZVJEŠTAJ O PROMJENAMA U VRIJEDNOSTI I OBUJMU IMOVINE I OBVEZA</w:t>
      </w:r>
    </w:p>
    <w:p w14:paraId="08E7A5E0" w14:textId="77777777" w:rsidR="00AF7315" w:rsidRDefault="0011743A" w:rsidP="00AF7315">
      <w:pPr>
        <w:spacing w:before="60" w:after="60"/>
        <w:ind w:left="-425" w:right="-380" w:firstLine="284"/>
        <w:jc w:val="both"/>
        <w:rPr>
          <w:rFonts w:ascii="Aptos" w:hAnsi="Aptos"/>
          <w:sz w:val="21"/>
          <w:szCs w:val="21"/>
        </w:rPr>
      </w:pPr>
      <w:r w:rsidRPr="00742B06">
        <w:rPr>
          <w:rFonts w:ascii="Aptos" w:hAnsi="Aptos" w:cstheme="minorHAnsi"/>
          <w:sz w:val="21"/>
          <w:szCs w:val="21"/>
        </w:rPr>
        <w:t xml:space="preserve">U ovom izvještajnom razdoblju </w:t>
      </w:r>
      <w:r w:rsidR="0011324C" w:rsidRPr="00742B06">
        <w:rPr>
          <w:rFonts w:ascii="Aptos" w:hAnsi="Aptos" w:cstheme="minorHAnsi"/>
          <w:sz w:val="21"/>
          <w:szCs w:val="21"/>
        </w:rPr>
        <w:t xml:space="preserve">promjene uslijed povećanja </w:t>
      </w:r>
      <w:r w:rsidR="00D12CAE" w:rsidRPr="00742B06">
        <w:rPr>
          <w:rFonts w:ascii="Aptos" w:hAnsi="Aptos" w:cstheme="minorHAnsi"/>
          <w:sz w:val="21"/>
          <w:szCs w:val="21"/>
        </w:rPr>
        <w:t>obujma</w:t>
      </w:r>
      <w:r w:rsidR="00742B06">
        <w:rPr>
          <w:rFonts w:ascii="Aptos" w:hAnsi="Aptos" w:cstheme="minorHAnsi"/>
          <w:sz w:val="21"/>
          <w:szCs w:val="21"/>
        </w:rPr>
        <w:t xml:space="preserve"> </w:t>
      </w:r>
      <w:r w:rsidR="00D12CAE" w:rsidRPr="00742B06">
        <w:rPr>
          <w:rFonts w:ascii="Aptos" w:hAnsi="Aptos" w:cstheme="minorHAnsi"/>
          <w:sz w:val="21"/>
          <w:szCs w:val="21"/>
        </w:rPr>
        <w:t>imovine</w:t>
      </w:r>
      <w:r w:rsidR="00742B06">
        <w:rPr>
          <w:rFonts w:ascii="Aptos" w:hAnsi="Aptos" w:cstheme="minorHAnsi"/>
          <w:sz w:val="21"/>
          <w:szCs w:val="21"/>
        </w:rPr>
        <w:t xml:space="preserve"> iskazane su u iznosu od 525.823,49 €, pri čemu se 122.114,66 € odnosi na vrijednost zemljišta kupljenog u svrhu izgradnje komunalne i druge infrastrukture odnosno procijenjenog i prodanog temeljem javnog natječaja, a 403.708,83 € na </w:t>
      </w:r>
      <w:r w:rsidR="00AF7315" w:rsidRPr="004D4B78">
        <w:rPr>
          <w:rFonts w:ascii="Aptos" w:hAnsi="Aptos"/>
          <w:sz w:val="21"/>
          <w:szCs w:val="21"/>
        </w:rPr>
        <w:t>stamben</w:t>
      </w:r>
      <w:r w:rsidR="00AF7315">
        <w:rPr>
          <w:rFonts w:ascii="Aptos" w:hAnsi="Aptos"/>
          <w:sz w:val="21"/>
          <w:szCs w:val="21"/>
        </w:rPr>
        <w:t>e</w:t>
      </w:r>
      <w:r w:rsidR="00AF7315" w:rsidRPr="004D4B78">
        <w:rPr>
          <w:rFonts w:ascii="Aptos" w:hAnsi="Aptos"/>
          <w:sz w:val="21"/>
          <w:szCs w:val="21"/>
        </w:rPr>
        <w:t xml:space="preserve"> prostor</w:t>
      </w:r>
      <w:r w:rsidR="00AF7315">
        <w:rPr>
          <w:rFonts w:ascii="Aptos" w:hAnsi="Aptos"/>
          <w:sz w:val="21"/>
          <w:szCs w:val="21"/>
        </w:rPr>
        <w:t>e</w:t>
      </w:r>
      <w:r w:rsidR="00AF7315" w:rsidRPr="004D4B78">
        <w:rPr>
          <w:rFonts w:ascii="Aptos" w:hAnsi="Aptos"/>
          <w:sz w:val="21"/>
          <w:szCs w:val="21"/>
        </w:rPr>
        <w:t xml:space="preserve"> u vlasništvu Grada Bakra koji nisu </w:t>
      </w:r>
      <w:r w:rsidR="00AF7315">
        <w:rPr>
          <w:rFonts w:ascii="Aptos" w:hAnsi="Aptos"/>
          <w:sz w:val="21"/>
          <w:szCs w:val="21"/>
        </w:rPr>
        <w:t xml:space="preserve">bili </w:t>
      </w:r>
      <w:r w:rsidR="00AF7315" w:rsidRPr="004D4B78">
        <w:rPr>
          <w:rFonts w:ascii="Aptos" w:hAnsi="Aptos"/>
          <w:sz w:val="21"/>
          <w:szCs w:val="21"/>
        </w:rPr>
        <w:t>evidentirani u glavnoj knjizi</w:t>
      </w:r>
      <w:r w:rsidR="00AF7315">
        <w:rPr>
          <w:rFonts w:ascii="Aptos" w:hAnsi="Aptos"/>
          <w:sz w:val="21"/>
          <w:szCs w:val="21"/>
        </w:rPr>
        <w:t xml:space="preserve"> procijenjenih</w:t>
      </w:r>
      <w:r w:rsidR="00AF7315">
        <w:rPr>
          <w:rFonts w:ascii="Aptos" w:hAnsi="Aptos" w:cstheme="minorHAnsi"/>
          <w:sz w:val="21"/>
          <w:szCs w:val="21"/>
        </w:rPr>
        <w:t xml:space="preserve"> </w:t>
      </w:r>
      <w:r w:rsidR="00AF7315">
        <w:rPr>
          <w:rFonts w:ascii="Aptos" w:hAnsi="Aptos"/>
          <w:sz w:val="21"/>
          <w:szCs w:val="21"/>
        </w:rPr>
        <w:t xml:space="preserve">internom procjenom na </w:t>
      </w:r>
      <w:r w:rsidR="00AF7315" w:rsidRPr="00380452">
        <w:rPr>
          <w:rFonts w:ascii="Aptos" w:hAnsi="Aptos"/>
          <w:sz w:val="21"/>
          <w:szCs w:val="21"/>
        </w:rPr>
        <w:t>temelju aproksimativne usporedne metode</w:t>
      </w:r>
      <w:r w:rsidR="00AF7315">
        <w:rPr>
          <w:rFonts w:ascii="Aptos" w:hAnsi="Aptos"/>
          <w:sz w:val="21"/>
          <w:szCs w:val="21"/>
        </w:rPr>
        <w:t>.</w:t>
      </w:r>
    </w:p>
    <w:p w14:paraId="3951D13F" w14:textId="4C3E2DB4" w:rsidR="00C378DF" w:rsidRPr="00AF7315" w:rsidRDefault="00D12CAE" w:rsidP="00AF7315">
      <w:pPr>
        <w:spacing w:before="60" w:after="60"/>
        <w:ind w:left="-425" w:right="-380" w:firstLine="284"/>
        <w:jc w:val="both"/>
        <w:rPr>
          <w:rFonts w:ascii="Aptos" w:hAnsi="Aptos"/>
          <w:sz w:val="21"/>
          <w:szCs w:val="21"/>
        </w:rPr>
      </w:pPr>
      <w:r w:rsidRPr="00742B06">
        <w:rPr>
          <w:rFonts w:ascii="Aptos" w:hAnsi="Aptos" w:cstheme="minorHAnsi"/>
          <w:sz w:val="21"/>
          <w:szCs w:val="21"/>
        </w:rPr>
        <w:t xml:space="preserve">Smanjenje </w:t>
      </w:r>
      <w:r w:rsidR="00154838" w:rsidRPr="00742B06">
        <w:rPr>
          <w:rFonts w:ascii="Aptos" w:hAnsi="Aptos" w:cstheme="minorHAnsi"/>
          <w:sz w:val="21"/>
          <w:szCs w:val="21"/>
        </w:rPr>
        <w:t>u obujmu financijske imovine</w:t>
      </w:r>
      <w:r w:rsidRPr="00742B06">
        <w:rPr>
          <w:rFonts w:ascii="Aptos" w:hAnsi="Aptos" w:cstheme="minorHAnsi"/>
          <w:sz w:val="21"/>
          <w:szCs w:val="21"/>
        </w:rPr>
        <w:t xml:space="preserve"> </w:t>
      </w:r>
      <w:r w:rsidR="00AF7315">
        <w:rPr>
          <w:rFonts w:ascii="Aptos" w:hAnsi="Aptos" w:cstheme="minorHAnsi"/>
          <w:sz w:val="21"/>
          <w:szCs w:val="21"/>
        </w:rPr>
        <w:t xml:space="preserve"> u iznosu od 6.669.340,68 € odnosi se na vrijednost isknjižene imovine i ulaganja u vodovodne sustave i vodovodne ogranke koji su vlasništvo </w:t>
      </w:r>
      <w:r w:rsidR="00AF7315" w:rsidRPr="00562300">
        <w:rPr>
          <w:rFonts w:ascii="Aptos" w:hAnsi="Aptos" w:cstheme="minorHAnsi"/>
          <w:sz w:val="21"/>
          <w:szCs w:val="21"/>
        </w:rPr>
        <w:t>javnoga isporučitelja vodnih usluga na uslužnom području</w:t>
      </w:r>
      <w:r w:rsidR="00AF7315">
        <w:rPr>
          <w:rFonts w:ascii="Aptos" w:hAnsi="Aptos" w:cstheme="minorHAnsi"/>
          <w:sz w:val="21"/>
          <w:szCs w:val="21"/>
        </w:rPr>
        <w:t>.</w:t>
      </w:r>
    </w:p>
    <w:p w14:paraId="5A962466" w14:textId="4BC1AF3C" w:rsidR="006202F0" w:rsidRPr="00C378DF" w:rsidRDefault="00290BDA" w:rsidP="00604FDB">
      <w:pPr>
        <w:shd w:val="clear" w:color="auto" w:fill="D9D9D9" w:themeFill="background1" w:themeFillShade="D9"/>
        <w:spacing w:before="60" w:after="60"/>
        <w:ind w:left="-425" w:right="-380"/>
        <w:jc w:val="both"/>
        <w:rPr>
          <w:rFonts w:ascii="Aptos" w:hAnsi="Aptos" w:cstheme="minorHAnsi"/>
          <w:b/>
          <w:sz w:val="21"/>
          <w:szCs w:val="21"/>
        </w:rPr>
      </w:pPr>
      <w:r w:rsidRPr="00C378DF">
        <w:rPr>
          <w:rFonts w:ascii="Aptos" w:hAnsi="Aptos" w:cstheme="minorHAnsi"/>
          <w:b/>
          <w:sz w:val="21"/>
          <w:szCs w:val="21"/>
        </w:rPr>
        <w:t>D</w:t>
      </w:r>
      <w:r w:rsidR="006202F0" w:rsidRPr="00C378DF">
        <w:rPr>
          <w:rFonts w:ascii="Aptos" w:hAnsi="Aptos" w:cstheme="minorHAnsi"/>
          <w:b/>
          <w:sz w:val="21"/>
          <w:szCs w:val="21"/>
        </w:rPr>
        <w:t xml:space="preserve">/  BILJEŠKE UZ IZVJEŠTAJ O OBVEZAMA  </w:t>
      </w:r>
    </w:p>
    <w:p w14:paraId="4EDABD0F" w14:textId="4CA62A93" w:rsidR="00E5569D" w:rsidRPr="00C378DF" w:rsidRDefault="00290BDA" w:rsidP="00E5569D">
      <w:pPr>
        <w:spacing w:before="60" w:after="60"/>
        <w:ind w:left="-425" w:right="-380" w:firstLine="284"/>
        <w:jc w:val="both"/>
        <w:rPr>
          <w:rFonts w:ascii="Aptos" w:hAnsi="Aptos" w:cstheme="minorHAnsi"/>
          <w:sz w:val="21"/>
          <w:szCs w:val="21"/>
        </w:rPr>
      </w:pPr>
      <w:r w:rsidRPr="00C378DF">
        <w:rPr>
          <w:rFonts w:ascii="Aptos" w:hAnsi="Aptos" w:cstheme="minorHAnsi"/>
          <w:sz w:val="21"/>
          <w:szCs w:val="21"/>
        </w:rPr>
        <w:t>Na kraju izvještajnog razdoblja stanje obveza</w:t>
      </w:r>
      <w:r w:rsidR="003B6403" w:rsidRPr="00C378DF">
        <w:rPr>
          <w:rFonts w:ascii="Aptos" w:hAnsi="Aptos" w:cstheme="minorHAnsi"/>
          <w:sz w:val="21"/>
          <w:szCs w:val="21"/>
        </w:rPr>
        <w:t xml:space="preserve"> – šifra V006</w:t>
      </w:r>
      <w:r w:rsidRPr="00C378DF">
        <w:rPr>
          <w:rFonts w:ascii="Aptos" w:hAnsi="Aptos" w:cstheme="minorHAnsi"/>
          <w:sz w:val="21"/>
          <w:szCs w:val="21"/>
        </w:rPr>
        <w:t xml:space="preserve"> iznosi </w:t>
      </w:r>
      <w:r w:rsidR="0093009D" w:rsidRPr="00C378DF">
        <w:rPr>
          <w:rFonts w:ascii="Aptos" w:hAnsi="Aptos" w:cstheme="minorHAnsi"/>
          <w:sz w:val="21"/>
          <w:szCs w:val="21"/>
        </w:rPr>
        <w:t>1.</w:t>
      </w:r>
      <w:r w:rsidR="00C378DF">
        <w:rPr>
          <w:rFonts w:ascii="Aptos" w:hAnsi="Aptos" w:cstheme="minorHAnsi"/>
          <w:sz w:val="21"/>
          <w:szCs w:val="21"/>
        </w:rPr>
        <w:t>351.699,08</w:t>
      </w:r>
      <w:r w:rsidR="003B6403" w:rsidRPr="00C378DF">
        <w:rPr>
          <w:rFonts w:ascii="Aptos" w:hAnsi="Aptos" w:cstheme="minorHAnsi"/>
          <w:sz w:val="21"/>
          <w:szCs w:val="21"/>
        </w:rPr>
        <w:t xml:space="preserve"> </w:t>
      </w:r>
      <w:r w:rsidRPr="00C378DF">
        <w:rPr>
          <w:rFonts w:ascii="Aptos" w:hAnsi="Aptos" w:cstheme="minorHAnsi"/>
          <w:sz w:val="21"/>
          <w:szCs w:val="21"/>
        </w:rPr>
        <w:t xml:space="preserve">€, pri čemu stanje dospjelih obveza </w:t>
      </w:r>
      <w:r w:rsidR="00E5569D" w:rsidRPr="00C378DF">
        <w:rPr>
          <w:rFonts w:ascii="Aptos" w:hAnsi="Aptos" w:cstheme="minorHAnsi"/>
          <w:sz w:val="21"/>
          <w:szCs w:val="21"/>
        </w:rPr>
        <w:t xml:space="preserve">– šifra V007 </w:t>
      </w:r>
      <w:r w:rsidRPr="00C378DF">
        <w:rPr>
          <w:rFonts w:ascii="Aptos" w:hAnsi="Aptos" w:cstheme="minorHAnsi"/>
          <w:sz w:val="21"/>
          <w:szCs w:val="21"/>
        </w:rPr>
        <w:t>na kraju izvještajnog razdoblja iznos</w:t>
      </w:r>
      <w:r w:rsidR="00E5569D" w:rsidRPr="00C378DF">
        <w:rPr>
          <w:rFonts w:ascii="Aptos" w:hAnsi="Aptos" w:cstheme="minorHAnsi"/>
          <w:sz w:val="21"/>
          <w:szCs w:val="21"/>
        </w:rPr>
        <w:t>i</w:t>
      </w:r>
      <w:r w:rsidRPr="00C378DF">
        <w:rPr>
          <w:rFonts w:ascii="Aptos" w:hAnsi="Aptos" w:cstheme="minorHAnsi"/>
          <w:sz w:val="21"/>
          <w:szCs w:val="21"/>
        </w:rPr>
        <w:t xml:space="preserve"> </w:t>
      </w:r>
      <w:r w:rsidR="00C378DF">
        <w:rPr>
          <w:rFonts w:ascii="Aptos" w:hAnsi="Aptos" w:cstheme="minorHAnsi"/>
          <w:sz w:val="21"/>
          <w:szCs w:val="21"/>
        </w:rPr>
        <w:t>35.443,80</w:t>
      </w:r>
      <w:r w:rsidR="00E5569D" w:rsidRPr="00C378DF">
        <w:rPr>
          <w:rFonts w:ascii="Aptos" w:hAnsi="Aptos" w:cstheme="minorHAnsi"/>
          <w:sz w:val="21"/>
          <w:szCs w:val="21"/>
        </w:rPr>
        <w:t xml:space="preserve"> €.</w:t>
      </w:r>
    </w:p>
    <w:p w14:paraId="4B24CC11" w14:textId="77777777" w:rsidR="00C378DF" w:rsidRDefault="00B20272" w:rsidP="00C378DF">
      <w:pPr>
        <w:spacing w:before="60" w:after="60"/>
        <w:ind w:left="-425" w:right="-380" w:firstLine="284"/>
        <w:jc w:val="both"/>
        <w:rPr>
          <w:rFonts w:ascii="Aptos" w:hAnsi="Aptos" w:cstheme="minorHAnsi"/>
          <w:sz w:val="21"/>
          <w:szCs w:val="21"/>
        </w:rPr>
      </w:pPr>
      <w:r w:rsidRPr="00C378DF">
        <w:rPr>
          <w:rFonts w:ascii="Aptos" w:hAnsi="Aptos" w:cstheme="minorHAnsi"/>
          <w:sz w:val="21"/>
          <w:szCs w:val="21"/>
        </w:rPr>
        <w:t xml:space="preserve">Sve dospjele obveze </w:t>
      </w:r>
      <w:r w:rsidR="00216C04" w:rsidRPr="00C378DF">
        <w:rPr>
          <w:rFonts w:ascii="Aptos" w:hAnsi="Aptos" w:cstheme="minorHAnsi"/>
          <w:sz w:val="21"/>
          <w:szCs w:val="21"/>
        </w:rPr>
        <w:t>odnose se na obveze iz izvještajnog razdoblja po računima koji su zaprimljeni tijekom siječnja i veljače 202</w:t>
      </w:r>
      <w:r w:rsidR="00C378DF">
        <w:rPr>
          <w:rFonts w:ascii="Aptos" w:hAnsi="Aptos" w:cstheme="minorHAnsi"/>
          <w:sz w:val="21"/>
          <w:szCs w:val="21"/>
        </w:rPr>
        <w:t>6</w:t>
      </w:r>
      <w:r w:rsidR="00216C04" w:rsidRPr="00C378DF">
        <w:rPr>
          <w:rFonts w:ascii="Aptos" w:hAnsi="Aptos" w:cstheme="minorHAnsi"/>
          <w:sz w:val="21"/>
          <w:szCs w:val="21"/>
        </w:rPr>
        <w:t xml:space="preserve">. godine. Radi primjene postupka </w:t>
      </w:r>
      <w:r w:rsidRPr="00C378DF">
        <w:rPr>
          <w:rFonts w:ascii="Aptos" w:hAnsi="Aptos" w:cstheme="minorHAnsi"/>
          <w:sz w:val="21"/>
          <w:szCs w:val="21"/>
        </w:rPr>
        <w:t xml:space="preserve">informatičkog </w:t>
      </w:r>
      <w:r w:rsidR="00216C04" w:rsidRPr="00C378DF">
        <w:rPr>
          <w:rFonts w:ascii="Aptos" w:hAnsi="Aptos" w:cstheme="minorHAnsi"/>
          <w:sz w:val="21"/>
          <w:szCs w:val="21"/>
        </w:rPr>
        <w:t xml:space="preserve">zaprimanja računa unutar ustrojstvenih jedinica Grada </w:t>
      </w:r>
      <w:proofErr w:type="spellStart"/>
      <w:r w:rsidR="00216C04" w:rsidRPr="00C378DF">
        <w:rPr>
          <w:rFonts w:ascii="Aptos" w:hAnsi="Aptos" w:cstheme="minorHAnsi"/>
          <w:sz w:val="21"/>
          <w:szCs w:val="21"/>
        </w:rPr>
        <w:t>Bakra,njihove</w:t>
      </w:r>
      <w:proofErr w:type="spellEnd"/>
      <w:r w:rsidR="00216C04" w:rsidRPr="00C378DF">
        <w:rPr>
          <w:rFonts w:ascii="Aptos" w:hAnsi="Aptos" w:cstheme="minorHAnsi"/>
          <w:sz w:val="21"/>
          <w:szCs w:val="21"/>
        </w:rPr>
        <w:t xml:space="preserve"> kontrole i ovjere došlo je i do kašnjenja u plaćanju.</w:t>
      </w:r>
    </w:p>
    <w:p w14:paraId="1663AF79" w14:textId="77777777" w:rsidR="00C378DF" w:rsidRDefault="00C378DF" w:rsidP="00C378DF">
      <w:pPr>
        <w:spacing w:before="60" w:after="60"/>
        <w:ind w:left="-425" w:right="-380" w:firstLine="284"/>
        <w:jc w:val="both"/>
        <w:rPr>
          <w:rFonts w:ascii="Aptos" w:hAnsi="Aptos" w:cstheme="minorHAnsi"/>
          <w:sz w:val="21"/>
          <w:szCs w:val="21"/>
        </w:rPr>
      </w:pPr>
    </w:p>
    <w:p w14:paraId="49BED575" w14:textId="77777777" w:rsidR="00C378DF" w:rsidRDefault="00C378DF" w:rsidP="00C378DF">
      <w:pPr>
        <w:spacing w:before="60" w:after="60"/>
        <w:ind w:left="-425" w:right="-380" w:firstLine="284"/>
        <w:jc w:val="both"/>
        <w:rPr>
          <w:rFonts w:ascii="Aptos" w:hAnsi="Aptos" w:cstheme="minorHAnsi"/>
          <w:sz w:val="21"/>
          <w:szCs w:val="21"/>
        </w:rPr>
      </w:pPr>
    </w:p>
    <w:p w14:paraId="2CA35A32" w14:textId="77777777" w:rsidR="00C378DF" w:rsidRDefault="00C378DF" w:rsidP="00C378DF">
      <w:pPr>
        <w:spacing w:before="60" w:after="60"/>
        <w:ind w:left="-425" w:right="-380" w:firstLine="284"/>
        <w:jc w:val="both"/>
        <w:rPr>
          <w:rFonts w:ascii="Aptos" w:hAnsi="Aptos" w:cstheme="minorHAnsi"/>
          <w:sz w:val="21"/>
          <w:szCs w:val="21"/>
        </w:rPr>
      </w:pPr>
    </w:p>
    <w:p w14:paraId="3E0D09E3" w14:textId="77777777" w:rsidR="00C378DF" w:rsidRDefault="00C378DF" w:rsidP="00825A0D">
      <w:pPr>
        <w:spacing w:before="60" w:after="60"/>
        <w:ind w:left="-425" w:right="-380" w:firstLine="284"/>
        <w:jc w:val="both"/>
        <w:rPr>
          <w:rFonts w:ascii="Aptos" w:hAnsi="Aptos" w:cstheme="minorHAnsi"/>
          <w:sz w:val="21"/>
          <w:szCs w:val="21"/>
        </w:rPr>
      </w:pPr>
    </w:p>
    <w:p w14:paraId="48AEA552" w14:textId="733D1D08" w:rsidR="00825A0D" w:rsidRDefault="00825A0D" w:rsidP="00825A0D">
      <w:pPr>
        <w:shd w:val="clear" w:color="auto" w:fill="D9D9D9" w:themeFill="background1" w:themeFillShade="D9"/>
        <w:spacing w:after="240"/>
        <w:jc w:val="both"/>
        <w:rPr>
          <w:rFonts w:ascii="Aptos" w:hAnsi="Aptos"/>
          <w:b/>
          <w:sz w:val="21"/>
          <w:szCs w:val="21"/>
        </w:rPr>
      </w:pPr>
      <w:r w:rsidRPr="00825A0D">
        <w:rPr>
          <w:rFonts w:ascii="Aptos" w:hAnsi="Aptos"/>
          <w:b/>
          <w:sz w:val="21"/>
          <w:szCs w:val="21"/>
        </w:rPr>
        <w:t xml:space="preserve">E/ BILJEŠKE UZ </w:t>
      </w:r>
      <w:r w:rsidRPr="00825A0D">
        <w:rPr>
          <w:rFonts w:ascii="Aptos" w:hAnsi="Aptos"/>
          <w:b/>
          <w:sz w:val="21"/>
          <w:szCs w:val="21"/>
        </w:rPr>
        <w:t xml:space="preserve">EU </w:t>
      </w:r>
      <w:r w:rsidRPr="00825A0D">
        <w:rPr>
          <w:rFonts w:ascii="Aptos" w:hAnsi="Aptos"/>
          <w:b/>
          <w:sz w:val="21"/>
          <w:szCs w:val="21"/>
        </w:rPr>
        <w:t>IZVJEŠTAJ</w:t>
      </w:r>
    </w:p>
    <w:p w14:paraId="29F0FF88" w14:textId="081C81DD" w:rsidR="00825A0D" w:rsidRPr="00825A0D" w:rsidRDefault="00825A0D" w:rsidP="00825A0D">
      <w:pPr>
        <w:spacing w:after="240"/>
        <w:jc w:val="both"/>
        <w:rPr>
          <w:rFonts w:ascii="Aptos" w:hAnsi="Aptos"/>
          <w:sz w:val="21"/>
          <w:szCs w:val="21"/>
        </w:rPr>
      </w:pPr>
      <w:r w:rsidRPr="00825A0D">
        <w:rPr>
          <w:rFonts w:ascii="Aptos" w:hAnsi="Aptos"/>
          <w:sz w:val="21"/>
          <w:szCs w:val="21"/>
        </w:rPr>
        <w:t xml:space="preserve">Prihodi na šifri 6 odnose se na prihode za provedbu tipa operacije 7.4.1 "Ulaganja u pokretanje, poboljšanje ili proširenje lokalnih temeljnih usluga za ruralno stanovništvo, uključujući slobodno vrijeme i kulturne aktivnosti te povezanu infrastrukturu" koji se provodi putem lokalnih razvojnih strategija odabranih LAG-ova unutar </w:t>
      </w:r>
      <w:proofErr w:type="spellStart"/>
      <w:r w:rsidRPr="00825A0D">
        <w:rPr>
          <w:rFonts w:ascii="Aptos" w:hAnsi="Aptos"/>
          <w:sz w:val="21"/>
          <w:szCs w:val="21"/>
        </w:rPr>
        <w:t>podmjere</w:t>
      </w:r>
      <w:proofErr w:type="spellEnd"/>
      <w:r w:rsidRPr="00825A0D">
        <w:rPr>
          <w:rFonts w:ascii="Aptos" w:hAnsi="Aptos"/>
          <w:sz w:val="21"/>
          <w:szCs w:val="21"/>
        </w:rPr>
        <w:t xml:space="preserve"> 19.2. "provedba operacija unutar CLLD strategije", za izgradnju dječjeg igrališta </w:t>
      </w:r>
      <w:proofErr w:type="spellStart"/>
      <w:r w:rsidRPr="00825A0D">
        <w:rPr>
          <w:rFonts w:ascii="Aptos" w:hAnsi="Aptos"/>
          <w:sz w:val="21"/>
          <w:szCs w:val="21"/>
        </w:rPr>
        <w:t>Praputnjak</w:t>
      </w:r>
      <w:proofErr w:type="spellEnd"/>
      <w:r w:rsidRPr="00825A0D">
        <w:rPr>
          <w:rFonts w:ascii="Aptos" w:hAnsi="Aptos"/>
          <w:sz w:val="21"/>
          <w:szCs w:val="21"/>
        </w:rPr>
        <w:t xml:space="preserve"> i opremanje Doma kulture Matija </w:t>
      </w:r>
      <w:proofErr w:type="spellStart"/>
      <w:r w:rsidRPr="00825A0D">
        <w:rPr>
          <w:rFonts w:ascii="Aptos" w:hAnsi="Aptos"/>
          <w:sz w:val="21"/>
          <w:szCs w:val="21"/>
        </w:rPr>
        <w:t>Mažić</w:t>
      </w:r>
      <w:proofErr w:type="spellEnd"/>
      <w:r w:rsidRPr="00825A0D">
        <w:rPr>
          <w:rFonts w:ascii="Aptos" w:hAnsi="Aptos"/>
          <w:sz w:val="21"/>
          <w:szCs w:val="21"/>
        </w:rPr>
        <w:t xml:space="preserve"> u Bakru.</w:t>
      </w:r>
    </w:p>
    <w:p w14:paraId="1D87D0FC" w14:textId="77777777" w:rsidR="00825A0D" w:rsidRPr="00825A0D" w:rsidRDefault="00825A0D" w:rsidP="00825A0D">
      <w:pPr>
        <w:rPr>
          <w:rFonts w:ascii="Aptos" w:hAnsi="Aptos"/>
          <w:sz w:val="21"/>
          <w:szCs w:val="21"/>
        </w:rPr>
      </w:pPr>
      <w:r w:rsidRPr="00825A0D">
        <w:rPr>
          <w:rFonts w:ascii="Aptos" w:hAnsi="Aptos"/>
          <w:sz w:val="21"/>
          <w:szCs w:val="21"/>
        </w:rPr>
        <w:t xml:space="preserve">Stanje potraživanja po ugovorima o dodijeljenim bespovratnim sredstvima iz EU fondova odnosi se na: 468.903,09 € za energetsku obnovu zgrade Dom zdravlja i dječji vrtić Škrljevo, 764.484,00 € za izgradnju matičnog vrtića Dječji vrtić Bakar u Industrijskoj zoni Kukuljanovo, te 1.469.138,20 € za izgradnju Vatrogasnog doma </w:t>
      </w:r>
      <w:proofErr w:type="spellStart"/>
      <w:r w:rsidRPr="00825A0D">
        <w:rPr>
          <w:rFonts w:ascii="Aptos" w:hAnsi="Aptos"/>
          <w:sz w:val="21"/>
          <w:szCs w:val="21"/>
        </w:rPr>
        <w:t>Hreljin</w:t>
      </w:r>
      <w:proofErr w:type="spellEnd"/>
      <w:r w:rsidRPr="00825A0D">
        <w:rPr>
          <w:rFonts w:ascii="Aptos" w:hAnsi="Aptos"/>
          <w:sz w:val="21"/>
          <w:szCs w:val="21"/>
        </w:rPr>
        <w:t>.</w:t>
      </w:r>
    </w:p>
    <w:p w14:paraId="7CF8ABC1" w14:textId="77777777" w:rsidR="00825A0D" w:rsidRDefault="00825A0D" w:rsidP="00C378DF">
      <w:pPr>
        <w:spacing w:before="60" w:after="60"/>
        <w:ind w:left="-425" w:right="-380" w:firstLine="284"/>
        <w:jc w:val="both"/>
        <w:rPr>
          <w:rFonts w:ascii="Aptos" w:hAnsi="Aptos" w:cstheme="minorHAnsi"/>
          <w:sz w:val="21"/>
          <w:szCs w:val="21"/>
          <w:lang w:val="en-AU"/>
        </w:rPr>
      </w:pPr>
    </w:p>
    <w:p w14:paraId="7C7CF84F" w14:textId="77777777" w:rsidR="00825A0D" w:rsidRDefault="00825A0D" w:rsidP="00C378DF">
      <w:pPr>
        <w:spacing w:before="60" w:after="60"/>
        <w:ind w:left="-425" w:right="-380" w:firstLine="284"/>
        <w:jc w:val="both"/>
        <w:rPr>
          <w:rFonts w:ascii="Aptos" w:hAnsi="Aptos" w:cstheme="minorHAnsi"/>
          <w:sz w:val="21"/>
          <w:szCs w:val="21"/>
          <w:lang w:val="en-AU"/>
        </w:rPr>
      </w:pPr>
    </w:p>
    <w:p w14:paraId="2FD18521" w14:textId="6AE208EA" w:rsidR="006202F0" w:rsidRPr="00DD01B2" w:rsidRDefault="006202F0" w:rsidP="00C378DF">
      <w:pPr>
        <w:spacing w:before="60" w:after="60"/>
        <w:ind w:left="-425" w:right="-380" w:firstLine="284"/>
        <w:jc w:val="both"/>
        <w:rPr>
          <w:rFonts w:ascii="Aptos" w:hAnsi="Aptos" w:cstheme="minorHAnsi"/>
          <w:sz w:val="21"/>
          <w:szCs w:val="21"/>
        </w:rPr>
      </w:pPr>
      <w:r w:rsidRPr="00DD01B2">
        <w:rPr>
          <w:rFonts w:ascii="Aptos" w:hAnsi="Aptos" w:cstheme="minorHAnsi"/>
          <w:sz w:val="21"/>
          <w:szCs w:val="21"/>
          <w:lang w:val="en-AU"/>
        </w:rPr>
        <w:t xml:space="preserve">Bakar, </w:t>
      </w:r>
      <w:r w:rsidR="00C378DF">
        <w:rPr>
          <w:rFonts w:ascii="Aptos" w:hAnsi="Aptos" w:cstheme="minorHAnsi"/>
          <w:sz w:val="21"/>
          <w:szCs w:val="21"/>
          <w:lang w:val="en-AU"/>
        </w:rPr>
        <w:t>23</w:t>
      </w:r>
      <w:r w:rsidR="00B90F4B" w:rsidRPr="00DD01B2">
        <w:rPr>
          <w:rFonts w:ascii="Aptos" w:hAnsi="Aptos" w:cstheme="minorHAnsi"/>
          <w:sz w:val="21"/>
          <w:szCs w:val="21"/>
          <w:lang w:val="en-AU"/>
        </w:rPr>
        <w:t xml:space="preserve">. </w:t>
      </w:r>
      <w:proofErr w:type="spellStart"/>
      <w:r w:rsidR="00B90F4B" w:rsidRPr="00DD01B2">
        <w:rPr>
          <w:rFonts w:ascii="Aptos" w:hAnsi="Aptos" w:cstheme="minorHAnsi"/>
          <w:sz w:val="21"/>
          <w:szCs w:val="21"/>
          <w:lang w:val="en-AU"/>
        </w:rPr>
        <w:t>veljače</w:t>
      </w:r>
      <w:proofErr w:type="spellEnd"/>
      <w:r w:rsidR="00B90F4B" w:rsidRPr="00DD01B2">
        <w:rPr>
          <w:rFonts w:ascii="Aptos" w:hAnsi="Aptos" w:cstheme="minorHAnsi"/>
          <w:sz w:val="21"/>
          <w:szCs w:val="21"/>
          <w:lang w:val="en-AU"/>
        </w:rPr>
        <w:t xml:space="preserve"> 202</w:t>
      </w:r>
      <w:r w:rsidR="00C378DF">
        <w:rPr>
          <w:rFonts w:ascii="Aptos" w:hAnsi="Aptos" w:cstheme="minorHAnsi"/>
          <w:sz w:val="21"/>
          <w:szCs w:val="21"/>
          <w:lang w:val="en-AU"/>
        </w:rPr>
        <w:t>6</w:t>
      </w:r>
      <w:r w:rsidRPr="00DD01B2">
        <w:rPr>
          <w:rFonts w:ascii="Aptos" w:hAnsi="Aptos" w:cstheme="minorHAnsi"/>
          <w:sz w:val="21"/>
          <w:szCs w:val="21"/>
          <w:lang w:val="en-AU"/>
        </w:rPr>
        <w:t xml:space="preserve">. </w:t>
      </w:r>
      <w:proofErr w:type="spellStart"/>
      <w:r w:rsidRPr="00DD01B2">
        <w:rPr>
          <w:rFonts w:ascii="Aptos" w:hAnsi="Aptos" w:cstheme="minorHAnsi"/>
          <w:sz w:val="21"/>
          <w:szCs w:val="21"/>
          <w:lang w:val="en-AU"/>
        </w:rPr>
        <w:t>godine</w:t>
      </w:r>
      <w:proofErr w:type="spellEnd"/>
    </w:p>
    <w:p w14:paraId="13ECFF3C" w14:textId="0FA1968D" w:rsidR="006202F0" w:rsidRPr="00DD01B2" w:rsidRDefault="006202F0" w:rsidP="006202F0">
      <w:pPr>
        <w:pStyle w:val="Zaglavlje"/>
        <w:tabs>
          <w:tab w:val="clear" w:pos="4320"/>
          <w:tab w:val="clear" w:pos="8640"/>
        </w:tabs>
        <w:spacing w:before="60" w:after="60"/>
        <w:jc w:val="both"/>
        <w:rPr>
          <w:rFonts w:ascii="Aptos" w:hAnsi="Aptos" w:cstheme="minorHAnsi"/>
          <w:sz w:val="21"/>
          <w:szCs w:val="21"/>
          <w:lang w:val="en-AU"/>
        </w:rPr>
      </w:pPr>
      <w:r w:rsidRPr="00DD01B2">
        <w:rPr>
          <w:rFonts w:ascii="Aptos" w:hAnsi="Aptos" w:cstheme="minorHAnsi"/>
          <w:sz w:val="21"/>
          <w:szCs w:val="21"/>
          <w:lang w:val="en-AU"/>
        </w:rPr>
        <w:t xml:space="preserve">                                                                                                                          </w:t>
      </w:r>
      <w:r w:rsidR="0072553E" w:rsidRPr="00DD01B2">
        <w:rPr>
          <w:rFonts w:ascii="Aptos" w:hAnsi="Aptos" w:cstheme="minorHAnsi"/>
          <w:sz w:val="21"/>
          <w:szCs w:val="21"/>
          <w:lang w:val="en-AU"/>
        </w:rPr>
        <w:t xml:space="preserve">                </w:t>
      </w:r>
      <w:r w:rsidR="004D3C28" w:rsidRPr="00DD01B2">
        <w:rPr>
          <w:rFonts w:ascii="Aptos" w:hAnsi="Aptos" w:cstheme="minorHAnsi"/>
          <w:sz w:val="21"/>
          <w:szCs w:val="21"/>
          <w:lang w:val="en-AU"/>
        </w:rPr>
        <w:t xml:space="preserve">      </w:t>
      </w:r>
      <w:r w:rsidR="0072553E" w:rsidRPr="00DD01B2">
        <w:rPr>
          <w:rFonts w:ascii="Aptos" w:hAnsi="Aptos" w:cstheme="minorHAnsi"/>
          <w:sz w:val="21"/>
          <w:szCs w:val="21"/>
          <w:lang w:val="en-AU"/>
        </w:rPr>
        <w:t xml:space="preserve">   </w:t>
      </w:r>
      <w:r w:rsidRPr="00DD01B2">
        <w:rPr>
          <w:rFonts w:ascii="Aptos" w:hAnsi="Aptos" w:cstheme="minorHAnsi"/>
          <w:sz w:val="21"/>
          <w:szCs w:val="21"/>
          <w:lang w:val="en-AU"/>
        </w:rPr>
        <w:t>P</w:t>
      </w:r>
      <w:r w:rsidR="0072553E" w:rsidRPr="00DD01B2">
        <w:rPr>
          <w:rFonts w:ascii="Aptos" w:hAnsi="Aptos" w:cstheme="minorHAnsi"/>
          <w:sz w:val="21"/>
          <w:szCs w:val="21"/>
          <w:lang w:val="en-AU"/>
        </w:rPr>
        <w:t>ROČELNICA</w:t>
      </w:r>
      <w:r w:rsidRPr="00DD01B2">
        <w:rPr>
          <w:rFonts w:ascii="Aptos" w:hAnsi="Aptos" w:cstheme="minorHAnsi"/>
          <w:sz w:val="21"/>
          <w:szCs w:val="21"/>
          <w:lang w:val="en-AU"/>
        </w:rPr>
        <w:t>:</w:t>
      </w:r>
    </w:p>
    <w:p w14:paraId="11247A71" w14:textId="227F8E8E" w:rsidR="00CF7F51" w:rsidRPr="00DD01B2" w:rsidRDefault="006202F0" w:rsidP="006202F0">
      <w:pPr>
        <w:pStyle w:val="Zaglavlje"/>
        <w:tabs>
          <w:tab w:val="clear" w:pos="4320"/>
          <w:tab w:val="clear" w:pos="8640"/>
        </w:tabs>
        <w:jc w:val="both"/>
        <w:rPr>
          <w:rFonts w:ascii="Aptos" w:hAnsi="Aptos"/>
          <w:sz w:val="21"/>
          <w:szCs w:val="21"/>
          <w:lang w:val="en-AU"/>
        </w:rPr>
      </w:pPr>
      <w:r w:rsidRPr="00DD01B2">
        <w:rPr>
          <w:rFonts w:ascii="Aptos" w:hAnsi="Aptos" w:cstheme="minorHAnsi"/>
          <w:sz w:val="21"/>
          <w:szCs w:val="21"/>
          <w:lang w:val="en-AU"/>
        </w:rPr>
        <w:t xml:space="preserve">                                                                                                                 </w:t>
      </w:r>
      <w:r w:rsidR="0072553E" w:rsidRPr="00DD01B2">
        <w:rPr>
          <w:rFonts w:ascii="Aptos" w:hAnsi="Aptos" w:cstheme="minorHAnsi"/>
          <w:sz w:val="21"/>
          <w:szCs w:val="21"/>
          <w:lang w:val="en-AU"/>
        </w:rPr>
        <w:t xml:space="preserve">                            </w:t>
      </w:r>
      <w:r w:rsidR="004D3C28" w:rsidRPr="00DD01B2">
        <w:rPr>
          <w:rFonts w:ascii="Aptos" w:hAnsi="Aptos" w:cstheme="minorHAnsi"/>
          <w:sz w:val="21"/>
          <w:szCs w:val="21"/>
          <w:lang w:val="en-AU"/>
        </w:rPr>
        <w:t xml:space="preserve">       </w:t>
      </w:r>
      <w:r w:rsidR="0072553E" w:rsidRPr="00DD01B2">
        <w:rPr>
          <w:rFonts w:ascii="Aptos" w:hAnsi="Aptos" w:cstheme="minorHAnsi"/>
          <w:sz w:val="21"/>
          <w:szCs w:val="21"/>
          <w:lang w:val="en-AU"/>
        </w:rPr>
        <w:t xml:space="preserve"> </w:t>
      </w:r>
      <w:r w:rsidRPr="00DD01B2">
        <w:rPr>
          <w:rFonts w:ascii="Aptos" w:hAnsi="Aptos" w:cstheme="minorHAnsi"/>
          <w:sz w:val="21"/>
          <w:szCs w:val="21"/>
          <w:lang w:val="en-AU"/>
        </w:rPr>
        <w:t>Iva Marohnić</w:t>
      </w:r>
    </w:p>
    <w:sectPr w:rsidR="00CF7F51" w:rsidRPr="00DD01B2" w:rsidSect="00683EEE">
      <w:headerReference w:type="even" r:id="rId8"/>
      <w:headerReference w:type="default" r:id="rId9"/>
      <w:pgSz w:w="11907" w:h="16840" w:code="9"/>
      <w:pgMar w:top="1440" w:right="1134"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B202" w14:textId="77777777" w:rsidR="000A437A" w:rsidRDefault="000A437A">
      <w:r>
        <w:separator/>
      </w:r>
    </w:p>
  </w:endnote>
  <w:endnote w:type="continuationSeparator" w:id="0">
    <w:p w14:paraId="5ADA27E6" w14:textId="77777777" w:rsidR="000A437A" w:rsidRDefault="000A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7E12" w14:textId="77777777" w:rsidR="000A437A" w:rsidRDefault="000A437A">
      <w:r>
        <w:separator/>
      </w:r>
    </w:p>
  </w:footnote>
  <w:footnote w:type="continuationSeparator" w:id="0">
    <w:p w14:paraId="60256240" w14:textId="77777777" w:rsidR="000A437A" w:rsidRDefault="000A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3CDB" w14:textId="77777777" w:rsidR="008C4538" w:rsidRDefault="008C4538">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72C7924B" w14:textId="77777777" w:rsidR="008C4538" w:rsidRDefault="008C4538">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18C8" w14:textId="77777777" w:rsidR="008C4538" w:rsidRDefault="008C4538">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47"/>
    <w:multiLevelType w:val="hybridMultilevel"/>
    <w:tmpl w:val="C0504FD6"/>
    <w:lvl w:ilvl="0" w:tplc="041A0001">
      <w:start w:val="1"/>
      <w:numFmt w:val="bullet"/>
      <w:lvlText w:val=""/>
      <w:lvlJc w:val="left"/>
      <w:pPr>
        <w:ind w:left="579" w:hanging="360"/>
      </w:pPr>
      <w:rPr>
        <w:rFonts w:ascii="Symbol" w:hAnsi="Symbol" w:hint="default"/>
      </w:rPr>
    </w:lvl>
    <w:lvl w:ilvl="1" w:tplc="041A0003" w:tentative="1">
      <w:start w:val="1"/>
      <w:numFmt w:val="bullet"/>
      <w:lvlText w:val="o"/>
      <w:lvlJc w:val="left"/>
      <w:pPr>
        <w:ind w:left="1299" w:hanging="360"/>
      </w:pPr>
      <w:rPr>
        <w:rFonts w:ascii="Courier New" w:hAnsi="Courier New" w:cs="Courier New" w:hint="default"/>
      </w:rPr>
    </w:lvl>
    <w:lvl w:ilvl="2" w:tplc="041A0005" w:tentative="1">
      <w:start w:val="1"/>
      <w:numFmt w:val="bullet"/>
      <w:lvlText w:val=""/>
      <w:lvlJc w:val="left"/>
      <w:pPr>
        <w:ind w:left="2019" w:hanging="360"/>
      </w:pPr>
      <w:rPr>
        <w:rFonts w:ascii="Wingdings" w:hAnsi="Wingdings" w:hint="default"/>
      </w:rPr>
    </w:lvl>
    <w:lvl w:ilvl="3" w:tplc="041A0001" w:tentative="1">
      <w:start w:val="1"/>
      <w:numFmt w:val="bullet"/>
      <w:lvlText w:val=""/>
      <w:lvlJc w:val="left"/>
      <w:pPr>
        <w:ind w:left="2739" w:hanging="360"/>
      </w:pPr>
      <w:rPr>
        <w:rFonts w:ascii="Symbol" w:hAnsi="Symbol" w:hint="default"/>
      </w:rPr>
    </w:lvl>
    <w:lvl w:ilvl="4" w:tplc="041A0003" w:tentative="1">
      <w:start w:val="1"/>
      <w:numFmt w:val="bullet"/>
      <w:lvlText w:val="o"/>
      <w:lvlJc w:val="left"/>
      <w:pPr>
        <w:ind w:left="3459" w:hanging="360"/>
      </w:pPr>
      <w:rPr>
        <w:rFonts w:ascii="Courier New" w:hAnsi="Courier New" w:cs="Courier New" w:hint="default"/>
      </w:rPr>
    </w:lvl>
    <w:lvl w:ilvl="5" w:tplc="041A0005" w:tentative="1">
      <w:start w:val="1"/>
      <w:numFmt w:val="bullet"/>
      <w:lvlText w:val=""/>
      <w:lvlJc w:val="left"/>
      <w:pPr>
        <w:ind w:left="4179" w:hanging="360"/>
      </w:pPr>
      <w:rPr>
        <w:rFonts w:ascii="Wingdings" w:hAnsi="Wingdings" w:hint="default"/>
      </w:rPr>
    </w:lvl>
    <w:lvl w:ilvl="6" w:tplc="041A0001" w:tentative="1">
      <w:start w:val="1"/>
      <w:numFmt w:val="bullet"/>
      <w:lvlText w:val=""/>
      <w:lvlJc w:val="left"/>
      <w:pPr>
        <w:ind w:left="4899" w:hanging="360"/>
      </w:pPr>
      <w:rPr>
        <w:rFonts w:ascii="Symbol" w:hAnsi="Symbol" w:hint="default"/>
      </w:rPr>
    </w:lvl>
    <w:lvl w:ilvl="7" w:tplc="041A0003" w:tentative="1">
      <w:start w:val="1"/>
      <w:numFmt w:val="bullet"/>
      <w:lvlText w:val="o"/>
      <w:lvlJc w:val="left"/>
      <w:pPr>
        <w:ind w:left="5619" w:hanging="360"/>
      </w:pPr>
      <w:rPr>
        <w:rFonts w:ascii="Courier New" w:hAnsi="Courier New" w:cs="Courier New" w:hint="default"/>
      </w:rPr>
    </w:lvl>
    <w:lvl w:ilvl="8" w:tplc="041A0005" w:tentative="1">
      <w:start w:val="1"/>
      <w:numFmt w:val="bullet"/>
      <w:lvlText w:val=""/>
      <w:lvlJc w:val="left"/>
      <w:pPr>
        <w:ind w:left="6339" w:hanging="360"/>
      </w:pPr>
      <w:rPr>
        <w:rFonts w:ascii="Wingdings" w:hAnsi="Wingdings" w:hint="default"/>
      </w:rPr>
    </w:lvl>
  </w:abstractNum>
  <w:abstractNum w:abstractNumId="1" w15:restartNumberingAfterBreak="0">
    <w:nsid w:val="184839D3"/>
    <w:multiLevelType w:val="hybridMultilevel"/>
    <w:tmpl w:val="FF24A064"/>
    <w:lvl w:ilvl="0" w:tplc="D77A1626">
      <w:numFmt w:val="bullet"/>
      <w:lvlText w:val="-"/>
      <w:lvlJc w:val="left"/>
      <w:pPr>
        <w:ind w:left="1080" w:hanging="360"/>
      </w:pPr>
      <w:rPr>
        <w:rFonts w:ascii="Cambria" w:eastAsia="Times New Roman"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023F5A"/>
    <w:multiLevelType w:val="hybridMultilevel"/>
    <w:tmpl w:val="5D32B2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A20074"/>
    <w:multiLevelType w:val="hybridMultilevel"/>
    <w:tmpl w:val="09102AA8"/>
    <w:lvl w:ilvl="0" w:tplc="BAFCDD08">
      <w:start w:val="31"/>
      <w:numFmt w:val="bullet"/>
      <w:lvlText w:val="-"/>
      <w:lvlJc w:val="left"/>
      <w:pPr>
        <w:ind w:left="294" w:hanging="360"/>
      </w:pPr>
      <w:rPr>
        <w:rFonts w:ascii="Cambria" w:eastAsia="Times New Roman" w:hAnsi="Cambria" w:cs="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4" w15:restartNumberingAfterBreak="0">
    <w:nsid w:val="3C1F387E"/>
    <w:multiLevelType w:val="hybridMultilevel"/>
    <w:tmpl w:val="3DB268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9D1E8A"/>
    <w:multiLevelType w:val="hybridMultilevel"/>
    <w:tmpl w:val="57CC9F50"/>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B402A4"/>
    <w:multiLevelType w:val="hybridMultilevel"/>
    <w:tmpl w:val="E50EF81A"/>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7" w15:restartNumberingAfterBreak="0">
    <w:nsid w:val="511A166F"/>
    <w:multiLevelType w:val="hybridMultilevel"/>
    <w:tmpl w:val="913ACBC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926757"/>
    <w:multiLevelType w:val="hybridMultilevel"/>
    <w:tmpl w:val="733C3B3A"/>
    <w:lvl w:ilvl="0" w:tplc="20E2C676">
      <w:start w:val="1"/>
      <w:numFmt w:val="decimal"/>
      <w:lvlText w:val="%1."/>
      <w:lvlJc w:val="left"/>
      <w:pPr>
        <w:tabs>
          <w:tab w:val="num" w:pos="840"/>
        </w:tabs>
        <w:ind w:left="840" w:hanging="360"/>
      </w:pPr>
      <w:rPr>
        <w:rFonts w:hint="default"/>
      </w:rPr>
    </w:lvl>
    <w:lvl w:ilvl="1" w:tplc="98547056">
      <w:start w:val="126"/>
      <w:numFmt w:val="bullet"/>
      <w:lvlText w:val="-"/>
      <w:lvlJc w:val="left"/>
      <w:pPr>
        <w:tabs>
          <w:tab w:val="num" w:pos="1560"/>
        </w:tabs>
        <w:ind w:left="1560" w:hanging="360"/>
      </w:pPr>
      <w:rPr>
        <w:rFonts w:ascii="Times New Roman" w:eastAsia="Times New Roman" w:hAnsi="Times New Roman" w:cs="Times New Roman" w:hint="default"/>
      </w:rPr>
    </w:lvl>
    <w:lvl w:ilvl="2" w:tplc="041A001B" w:tentative="1">
      <w:start w:val="1"/>
      <w:numFmt w:val="lowerRoman"/>
      <w:lvlText w:val="%3."/>
      <w:lvlJc w:val="right"/>
      <w:pPr>
        <w:tabs>
          <w:tab w:val="num" w:pos="2280"/>
        </w:tabs>
        <w:ind w:left="2280" w:hanging="180"/>
      </w:pPr>
    </w:lvl>
    <w:lvl w:ilvl="3" w:tplc="041A000F" w:tentative="1">
      <w:start w:val="1"/>
      <w:numFmt w:val="decimal"/>
      <w:lvlText w:val="%4."/>
      <w:lvlJc w:val="left"/>
      <w:pPr>
        <w:tabs>
          <w:tab w:val="num" w:pos="3000"/>
        </w:tabs>
        <w:ind w:left="3000" w:hanging="360"/>
      </w:pPr>
    </w:lvl>
    <w:lvl w:ilvl="4" w:tplc="041A0019" w:tentative="1">
      <w:start w:val="1"/>
      <w:numFmt w:val="lowerLetter"/>
      <w:lvlText w:val="%5."/>
      <w:lvlJc w:val="left"/>
      <w:pPr>
        <w:tabs>
          <w:tab w:val="num" w:pos="3720"/>
        </w:tabs>
        <w:ind w:left="3720" w:hanging="360"/>
      </w:pPr>
    </w:lvl>
    <w:lvl w:ilvl="5" w:tplc="041A001B" w:tentative="1">
      <w:start w:val="1"/>
      <w:numFmt w:val="lowerRoman"/>
      <w:lvlText w:val="%6."/>
      <w:lvlJc w:val="right"/>
      <w:pPr>
        <w:tabs>
          <w:tab w:val="num" w:pos="4440"/>
        </w:tabs>
        <w:ind w:left="4440" w:hanging="180"/>
      </w:pPr>
    </w:lvl>
    <w:lvl w:ilvl="6" w:tplc="041A000F" w:tentative="1">
      <w:start w:val="1"/>
      <w:numFmt w:val="decimal"/>
      <w:lvlText w:val="%7."/>
      <w:lvlJc w:val="left"/>
      <w:pPr>
        <w:tabs>
          <w:tab w:val="num" w:pos="5160"/>
        </w:tabs>
        <w:ind w:left="5160" w:hanging="360"/>
      </w:pPr>
    </w:lvl>
    <w:lvl w:ilvl="7" w:tplc="041A0019" w:tentative="1">
      <w:start w:val="1"/>
      <w:numFmt w:val="lowerLetter"/>
      <w:lvlText w:val="%8."/>
      <w:lvlJc w:val="left"/>
      <w:pPr>
        <w:tabs>
          <w:tab w:val="num" w:pos="5880"/>
        </w:tabs>
        <w:ind w:left="5880" w:hanging="360"/>
      </w:pPr>
    </w:lvl>
    <w:lvl w:ilvl="8" w:tplc="041A001B" w:tentative="1">
      <w:start w:val="1"/>
      <w:numFmt w:val="lowerRoman"/>
      <w:lvlText w:val="%9."/>
      <w:lvlJc w:val="right"/>
      <w:pPr>
        <w:tabs>
          <w:tab w:val="num" w:pos="6600"/>
        </w:tabs>
        <w:ind w:left="6600" w:hanging="180"/>
      </w:pPr>
    </w:lvl>
  </w:abstractNum>
  <w:abstractNum w:abstractNumId="9" w15:restartNumberingAfterBreak="0">
    <w:nsid w:val="716C01FF"/>
    <w:multiLevelType w:val="hybridMultilevel"/>
    <w:tmpl w:val="63FC11C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F85F1C"/>
    <w:multiLevelType w:val="hybridMultilevel"/>
    <w:tmpl w:val="1A9E83C4"/>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7BA12782"/>
    <w:multiLevelType w:val="hybridMultilevel"/>
    <w:tmpl w:val="4E8E0280"/>
    <w:lvl w:ilvl="0" w:tplc="2F22974E">
      <w:start w:val="31"/>
      <w:numFmt w:val="bullet"/>
      <w:lvlText w:val=""/>
      <w:lvlJc w:val="left"/>
      <w:pPr>
        <w:ind w:left="-66" w:hanging="360"/>
      </w:pPr>
      <w:rPr>
        <w:rFonts w:ascii="Symbol" w:eastAsia="Times New Roman" w:hAnsi="Symbol" w:cs="Times New Roman" w:hint="default"/>
        <w:color w:val="000000" w:themeColor="text1"/>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num w:numId="1" w16cid:durableId="1823767004">
    <w:abstractNumId w:val="8"/>
  </w:num>
  <w:num w:numId="2" w16cid:durableId="2077778103">
    <w:abstractNumId w:val="9"/>
  </w:num>
  <w:num w:numId="3" w16cid:durableId="934630681">
    <w:abstractNumId w:val="7"/>
  </w:num>
  <w:num w:numId="4" w16cid:durableId="1805541155">
    <w:abstractNumId w:val="5"/>
  </w:num>
  <w:num w:numId="5" w16cid:durableId="69816460">
    <w:abstractNumId w:val="10"/>
  </w:num>
  <w:num w:numId="6" w16cid:durableId="846755036">
    <w:abstractNumId w:val="1"/>
  </w:num>
  <w:num w:numId="7" w16cid:durableId="1526479273">
    <w:abstractNumId w:val="4"/>
  </w:num>
  <w:num w:numId="8" w16cid:durableId="1975526142">
    <w:abstractNumId w:val="2"/>
  </w:num>
  <w:num w:numId="9" w16cid:durableId="401947543">
    <w:abstractNumId w:val="6"/>
  </w:num>
  <w:num w:numId="10" w16cid:durableId="1090466142">
    <w:abstractNumId w:val="11"/>
  </w:num>
  <w:num w:numId="11" w16cid:durableId="912739745">
    <w:abstractNumId w:val="3"/>
  </w:num>
  <w:num w:numId="12" w16cid:durableId="159724616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EB"/>
    <w:rsid w:val="000012FC"/>
    <w:rsid w:val="00003190"/>
    <w:rsid w:val="0000385F"/>
    <w:rsid w:val="000039E4"/>
    <w:rsid w:val="000039FD"/>
    <w:rsid w:val="00003F67"/>
    <w:rsid w:val="000064CB"/>
    <w:rsid w:val="00007FEA"/>
    <w:rsid w:val="000109BE"/>
    <w:rsid w:val="00011583"/>
    <w:rsid w:val="00011E8D"/>
    <w:rsid w:val="00016077"/>
    <w:rsid w:val="000160FF"/>
    <w:rsid w:val="0001645F"/>
    <w:rsid w:val="0001742C"/>
    <w:rsid w:val="00021981"/>
    <w:rsid w:val="000250E6"/>
    <w:rsid w:val="00025229"/>
    <w:rsid w:val="000303C1"/>
    <w:rsid w:val="00031DC2"/>
    <w:rsid w:val="00031E3F"/>
    <w:rsid w:val="00034ADB"/>
    <w:rsid w:val="00034B54"/>
    <w:rsid w:val="00036262"/>
    <w:rsid w:val="00040E4B"/>
    <w:rsid w:val="0004214E"/>
    <w:rsid w:val="000453ED"/>
    <w:rsid w:val="00046692"/>
    <w:rsid w:val="00047037"/>
    <w:rsid w:val="0004778B"/>
    <w:rsid w:val="00052F82"/>
    <w:rsid w:val="00053943"/>
    <w:rsid w:val="00053F03"/>
    <w:rsid w:val="00055909"/>
    <w:rsid w:val="000601B3"/>
    <w:rsid w:val="00060E7B"/>
    <w:rsid w:val="000612DB"/>
    <w:rsid w:val="00062B27"/>
    <w:rsid w:val="00063EB3"/>
    <w:rsid w:val="000640EF"/>
    <w:rsid w:val="000714A0"/>
    <w:rsid w:val="00072331"/>
    <w:rsid w:val="00075B8E"/>
    <w:rsid w:val="00077BE6"/>
    <w:rsid w:val="0008313F"/>
    <w:rsid w:val="0008374B"/>
    <w:rsid w:val="00085D48"/>
    <w:rsid w:val="00087983"/>
    <w:rsid w:val="00087DE4"/>
    <w:rsid w:val="00087F9A"/>
    <w:rsid w:val="00090C54"/>
    <w:rsid w:val="000916FF"/>
    <w:rsid w:val="00091F63"/>
    <w:rsid w:val="0009255D"/>
    <w:rsid w:val="000934B6"/>
    <w:rsid w:val="000935C9"/>
    <w:rsid w:val="00095DB8"/>
    <w:rsid w:val="000963A9"/>
    <w:rsid w:val="00097E0F"/>
    <w:rsid w:val="000A0201"/>
    <w:rsid w:val="000A437A"/>
    <w:rsid w:val="000A6DB8"/>
    <w:rsid w:val="000B07C6"/>
    <w:rsid w:val="000B1824"/>
    <w:rsid w:val="000B2496"/>
    <w:rsid w:val="000B298C"/>
    <w:rsid w:val="000B478E"/>
    <w:rsid w:val="000B559B"/>
    <w:rsid w:val="000B7710"/>
    <w:rsid w:val="000C46D2"/>
    <w:rsid w:val="000C4861"/>
    <w:rsid w:val="000C4ACF"/>
    <w:rsid w:val="000C5D4E"/>
    <w:rsid w:val="000C60FE"/>
    <w:rsid w:val="000C68C5"/>
    <w:rsid w:val="000C78BC"/>
    <w:rsid w:val="000D0858"/>
    <w:rsid w:val="000D20B3"/>
    <w:rsid w:val="000D4D3F"/>
    <w:rsid w:val="000D5312"/>
    <w:rsid w:val="000D6FF3"/>
    <w:rsid w:val="000E080B"/>
    <w:rsid w:val="000E1276"/>
    <w:rsid w:val="000E12EE"/>
    <w:rsid w:val="000E195F"/>
    <w:rsid w:val="000E1C5E"/>
    <w:rsid w:val="000E666F"/>
    <w:rsid w:val="000E6EE0"/>
    <w:rsid w:val="000E755B"/>
    <w:rsid w:val="000E7F24"/>
    <w:rsid w:val="000F0CE3"/>
    <w:rsid w:val="000F3795"/>
    <w:rsid w:val="000F3E42"/>
    <w:rsid w:val="000F458A"/>
    <w:rsid w:val="000F612A"/>
    <w:rsid w:val="000F64C3"/>
    <w:rsid w:val="000F6659"/>
    <w:rsid w:val="000F6F12"/>
    <w:rsid w:val="00100231"/>
    <w:rsid w:val="001004DB"/>
    <w:rsid w:val="0010090F"/>
    <w:rsid w:val="00101646"/>
    <w:rsid w:val="00103600"/>
    <w:rsid w:val="00103650"/>
    <w:rsid w:val="00105664"/>
    <w:rsid w:val="00110F90"/>
    <w:rsid w:val="00111A51"/>
    <w:rsid w:val="001123AA"/>
    <w:rsid w:val="0011324C"/>
    <w:rsid w:val="0011437E"/>
    <w:rsid w:val="0011489C"/>
    <w:rsid w:val="00115EB5"/>
    <w:rsid w:val="0011743A"/>
    <w:rsid w:val="00123C1A"/>
    <w:rsid w:val="00126E52"/>
    <w:rsid w:val="00132294"/>
    <w:rsid w:val="00134131"/>
    <w:rsid w:val="00134D53"/>
    <w:rsid w:val="00134DAF"/>
    <w:rsid w:val="00134E35"/>
    <w:rsid w:val="00135663"/>
    <w:rsid w:val="00135777"/>
    <w:rsid w:val="00140C5F"/>
    <w:rsid w:val="00142013"/>
    <w:rsid w:val="00142ACE"/>
    <w:rsid w:val="00142B5E"/>
    <w:rsid w:val="00143118"/>
    <w:rsid w:val="00143218"/>
    <w:rsid w:val="001447F1"/>
    <w:rsid w:val="001456E8"/>
    <w:rsid w:val="001463BF"/>
    <w:rsid w:val="00146B0F"/>
    <w:rsid w:val="00150077"/>
    <w:rsid w:val="00150330"/>
    <w:rsid w:val="001504C4"/>
    <w:rsid w:val="00150AB8"/>
    <w:rsid w:val="00152895"/>
    <w:rsid w:val="00154838"/>
    <w:rsid w:val="00154BB9"/>
    <w:rsid w:val="00156883"/>
    <w:rsid w:val="00157FF7"/>
    <w:rsid w:val="001611FA"/>
    <w:rsid w:val="00162059"/>
    <w:rsid w:val="001620B9"/>
    <w:rsid w:val="00162662"/>
    <w:rsid w:val="00162B2F"/>
    <w:rsid w:val="0016547B"/>
    <w:rsid w:val="00165EBA"/>
    <w:rsid w:val="001663F9"/>
    <w:rsid w:val="0017074F"/>
    <w:rsid w:val="0017172C"/>
    <w:rsid w:val="00171A15"/>
    <w:rsid w:val="001723A3"/>
    <w:rsid w:val="001729A1"/>
    <w:rsid w:val="00173FAF"/>
    <w:rsid w:val="00174531"/>
    <w:rsid w:val="00174D2F"/>
    <w:rsid w:val="00174ED4"/>
    <w:rsid w:val="00175BDF"/>
    <w:rsid w:val="001769AE"/>
    <w:rsid w:val="00177DCC"/>
    <w:rsid w:val="00180732"/>
    <w:rsid w:val="00182916"/>
    <w:rsid w:val="001839B3"/>
    <w:rsid w:val="00183A92"/>
    <w:rsid w:val="00183F8B"/>
    <w:rsid w:val="00184C92"/>
    <w:rsid w:val="00185190"/>
    <w:rsid w:val="00186EF3"/>
    <w:rsid w:val="001874DC"/>
    <w:rsid w:val="00190E34"/>
    <w:rsid w:val="001916A8"/>
    <w:rsid w:val="00191C7B"/>
    <w:rsid w:val="00192685"/>
    <w:rsid w:val="00192B3B"/>
    <w:rsid w:val="0019325A"/>
    <w:rsid w:val="00193B21"/>
    <w:rsid w:val="00195F39"/>
    <w:rsid w:val="00196F69"/>
    <w:rsid w:val="001A020D"/>
    <w:rsid w:val="001A0594"/>
    <w:rsid w:val="001A10BF"/>
    <w:rsid w:val="001A1EFB"/>
    <w:rsid w:val="001A21CF"/>
    <w:rsid w:val="001A2558"/>
    <w:rsid w:val="001A32C4"/>
    <w:rsid w:val="001A5E55"/>
    <w:rsid w:val="001A71CA"/>
    <w:rsid w:val="001A7BA1"/>
    <w:rsid w:val="001B0692"/>
    <w:rsid w:val="001B1154"/>
    <w:rsid w:val="001B3718"/>
    <w:rsid w:val="001B3898"/>
    <w:rsid w:val="001B4414"/>
    <w:rsid w:val="001B4DF2"/>
    <w:rsid w:val="001B6256"/>
    <w:rsid w:val="001B7A7E"/>
    <w:rsid w:val="001B7F22"/>
    <w:rsid w:val="001C1479"/>
    <w:rsid w:val="001C1ABC"/>
    <w:rsid w:val="001C2994"/>
    <w:rsid w:val="001C3E67"/>
    <w:rsid w:val="001C4006"/>
    <w:rsid w:val="001C77AC"/>
    <w:rsid w:val="001D32E1"/>
    <w:rsid w:val="001D4BE0"/>
    <w:rsid w:val="001D5ED2"/>
    <w:rsid w:val="001D6A82"/>
    <w:rsid w:val="001E0200"/>
    <w:rsid w:val="001E0480"/>
    <w:rsid w:val="001E0961"/>
    <w:rsid w:val="001E0BA5"/>
    <w:rsid w:val="001E1A11"/>
    <w:rsid w:val="001E2614"/>
    <w:rsid w:val="001E2747"/>
    <w:rsid w:val="001E35B7"/>
    <w:rsid w:val="001E6FCC"/>
    <w:rsid w:val="001E7130"/>
    <w:rsid w:val="001E720D"/>
    <w:rsid w:val="001E7E64"/>
    <w:rsid w:val="001E7E7A"/>
    <w:rsid w:val="001F1813"/>
    <w:rsid w:val="001F1D47"/>
    <w:rsid w:val="001F1FE1"/>
    <w:rsid w:val="001F34D3"/>
    <w:rsid w:val="001F3911"/>
    <w:rsid w:val="001F4633"/>
    <w:rsid w:val="001F4FF8"/>
    <w:rsid w:val="001F51D0"/>
    <w:rsid w:val="001F557B"/>
    <w:rsid w:val="001F5FAF"/>
    <w:rsid w:val="001F7FDB"/>
    <w:rsid w:val="002007A8"/>
    <w:rsid w:val="00202369"/>
    <w:rsid w:val="002037B6"/>
    <w:rsid w:val="00204647"/>
    <w:rsid w:val="0020588E"/>
    <w:rsid w:val="00207EFE"/>
    <w:rsid w:val="002101EF"/>
    <w:rsid w:val="0021051D"/>
    <w:rsid w:val="002135CD"/>
    <w:rsid w:val="00214385"/>
    <w:rsid w:val="00214690"/>
    <w:rsid w:val="00214841"/>
    <w:rsid w:val="002162AF"/>
    <w:rsid w:val="00216995"/>
    <w:rsid w:val="00216C04"/>
    <w:rsid w:val="002170B0"/>
    <w:rsid w:val="0021741E"/>
    <w:rsid w:val="00217C3C"/>
    <w:rsid w:val="00222D85"/>
    <w:rsid w:val="00223025"/>
    <w:rsid w:val="002243FD"/>
    <w:rsid w:val="00225324"/>
    <w:rsid w:val="00227F21"/>
    <w:rsid w:val="00231370"/>
    <w:rsid w:val="002331D1"/>
    <w:rsid w:val="0023435B"/>
    <w:rsid w:val="0023607A"/>
    <w:rsid w:val="00236FAF"/>
    <w:rsid w:val="00243016"/>
    <w:rsid w:val="0024331B"/>
    <w:rsid w:val="00243471"/>
    <w:rsid w:val="00243D6F"/>
    <w:rsid w:val="00244E9E"/>
    <w:rsid w:val="00245B3E"/>
    <w:rsid w:val="00247DE6"/>
    <w:rsid w:val="00252A24"/>
    <w:rsid w:val="00253563"/>
    <w:rsid w:val="00254277"/>
    <w:rsid w:val="00255D32"/>
    <w:rsid w:val="002567C2"/>
    <w:rsid w:val="0025742A"/>
    <w:rsid w:val="002579A1"/>
    <w:rsid w:val="00262245"/>
    <w:rsid w:val="00264969"/>
    <w:rsid w:val="00264D83"/>
    <w:rsid w:val="0026680D"/>
    <w:rsid w:val="00271001"/>
    <w:rsid w:val="00271CF1"/>
    <w:rsid w:val="00271EEE"/>
    <w:rsid w:val="002729F6"/>
    <w:rsid w:val="00275A1F"/>
    <w:rsid w:val="00275AE9"/>
    <w:rsid w:val="0027610F"/>
    <w:rsid w:val="002761C8"/>
    <w:rsid w:val="00276983"/>
    <w:rsid w:val="00277A47"/>
    <w:rsid w:val="00277AED"/>
    <w:rsid w:val="0028027A"/>
    <w:rsid w:val="00281118"/>
    <w:rsid w:val="00282C36"/>
    <w:rsid w:val="002838E6"/>
    <w:rsid w:val="002852B4"/>
    <w:rsid w:val="00285374"/>
    <w:rsid w:val="00287EB0"/>
    <w:rsid w:val="00290BDA"/>
    <w:rsid w:val="0029280A"/>
    <w:rsid w:val="00295FF8"/>
    <w:rsid w:val="00297B16"/>
    <w:rsid w:val="00297B47"/>
    <w:rsid w:val="002A2BBC"/>
    <w:rsid w:val="002A2C2B"/>
    <w:rsid w:val="002A3A19"/>
    <w:rsid w:val="002A3DD9"/>
    <w:rsid w:val="002A3F38"/>
    <w:rsid w:val="002A68C2"/>
    <w:rsid w:val="002A75AF"/>
    <w:rsid w:val="002B0153"/>
    <w:rsid w:val="002B5581"/>
    <w:rsid w:val="002B5618"/>
    <w:rsid w:val="002B58BA"/>
    <w:rsid w:val="002B72BC"/>
    <w:rsid w:val="002B7E36"/>
    <w:rsid w:val="002C0453"/>
    <w:rsid w:val="002C27E1"/>
    <w:rsid w:val="002C46EE"/>
    <w:rsid w:val="002C70CD"/>
    <w:rsid w:val="002C7542"/>
    <w:rsid w:val="002C78A1"/>
    <w:rsid w:val="002D050E"/>
    <w:rsid w:val="002D17C4"/>
    <w:rsid w:val="002D38CA"/>
    <w:rsid w:val="002D4388"/>
    <w:rsid w:val="002D4FA7"/>
    <w:rsid w:val="002D63D5"/>
    <w:rsid w:val="002D70FA"/>
    <w:rsid w:val="002D7801"/>
    <w:rsid w:val="002D7A87"/>
    <w:rsid w:val="002D7D29"/>
    <w:rsid w:val="002E1D71"/>
    <w:rsid w:val="002E210C"/>
    <w:rsid w:val="002E2A57"/>
    <w:rsid w:val="002E467E"/>
    <w:rsid w:val="002E4B32"/>
    <w:rsid w:val="002E51BE"/>
    <w:rsid w:val="002E6613"/>
    <w:rsid w:val="002F05F0"/>
    <w:rsid w:val="002F1333"/>
    <w:rsid w:val="002F24C4"/>
    <w:rsid w:val="002F28DF"/>
    <w:rsid w:val="002F3201"/>
    <w:rsid w:val="002F517A"/>
    <w:rsid w:val="002F73AA"/>
    <w:rsid w:val="002F759A"/>
    <w:rsid w:val="00302C65"/>
    <w:rsid w:val="00302EEB"/>
    <w:rsid w:val="003036DE"/>
    <w:rsid w:val="00303A42"/>
    <w:rsid w:val="00303B41"/>
    <w:rsid w:val="00304777"/>
    <w:rsid w:val="003064C4"/>
    <w:rsid w:val="00306FB6"/>
    <w:rsid w:val="00307D6C"/>
    <w:rsid w:val="003106A2"/>
    <w:rsid w:val="00313690"/>
    <w:rsid w:val="00315060"/>
    <w:rsid w:val="0031778F"/>
    <w:rsid w:val="0032041C"/>
    <w:rsid w:val="00323CDC"/>
    <w:rsid w:val="00323D2C"/>
    <w:rsid w:val="00324E74"/>
    <w:rsid w:val="00326A88"/>
    <w:rsid w:val="00327C6A"/>
    <w:rsid w:val="003300A8"/>
    <w:rsid w:val="003308A8"/>
    <w:rsid w:val="00331417"/>
    <w:rsid w:val="0033249C"/>
    <w:rsid w:val="00332915"/>
    <w:rsid w:val="00332F33"/>
    <w:rsid w:val="00334586"/>
    <w:rsid w:val="00335B55"/>
    <w:rsid w:val="00336844"/>
    <w:rsid w:val="00337872"/>
    <w:rsid w:val="00340989"/>
    <w:rsid w:val="00345DC7"/>
    <w:rsid w:val="0034616A"/>
    <w:rsid w:val="00346C30"/>
    <w:rsid w:val="00346D51"/>
    <w:rsid w:val="003477C8"/>
    <w:rsid w:val="00350915"/>
    <w:rsid w:val="00350DE2"/>
    <w:rsid w:val="00351D0B"/>
    <w:rsid w:val="00352C9E"/>
    <w:rsid w:val="003559E2"/>
    <w:rsid w:val="00355E8B"/>
    <w:rsid w:val="00356DFA"/>
    <w:rsid w:val="003573A7"/>
    <w:rsid w:val="0036068E"/>
    <w:rsid w:val="00363736"/>
    <w:rsid w:val="00364665"/>
    <w:rsid w:val="00367C1D"/>
    <w:rsid w:val="0037051F"/>
    <w:rsid w:val="00371B69"/>
    <w:rsid w:val="00372879"/>
    <w:rsid w:val="00376F24"/>
    <w:rsid w:val="00380915"/>
    <w:rsid w:val="00380997"/>
    <w:rsid w:val="003814EC"/>
    <w:rsid w:val="003814F8"/>
    <w:rsid w:val="00382C7B"/>
    <w:rsid w:val="00382DF7"/>
    <w:rsid w:val="003841AE"/>
    <w:rsid w:val="003841BE"/>
    <w:rsid w:val="003857F6"/>
    <w:rsid w:val="00386013"/>
    <w:rsid w:val="0038612A"/>
    <w:rsid w:val="00386E53"/>
    <w:rsid w:val="0039474D"/>
    <w:rsid w:val="00397B7B"/>
    <w:rsid w:val="003A0685"/>
    <w:rsid w:val="003A0AA3"/>
    <w:rsid w:val="003A0BB7"/>
    <w:rsid w:val="003A36C9"/>
    <w:rsid w:val="003A3C44"/>
    <w:rsid w:val="003A4283"/>
    <w:rsid w:val="003A56C5"/>
    <w:rsid w:val="003A6251"/>
    <w:rsid w:val="003A6466"/>
    <w:rsid w:val="003A64A9"/>
    <w:rsid w:val="003A6A4D"/>
    <w:rsid w:val="003A6F87"/>
    <w:rsid w:val="003A70FD"/>
    <w:rsid w:val="003A7FE4"/>
    <w:rsid w:val="003B05B9"/>
    <w:rsid w:val="003B10EB"/>
    <w:rsid w:val="003B3F6F"/>
    <w:rsid w:val="003B4AE3"/>
    <w:rsid w:val="003B5729"/>
    <w:rsid w:val="003B6257"/>
    <w:rsid w:val="003B6403"/>
    <w:rsid w:val="003B69CA"/>
    <w:rsid w:val="003B6EB4"/>
    <w:rsid w:val="003B73F4"/>
    <w:rsid w:val="003C20EE"/>
    <w:rsid w:val="003C3102"/>
    <w:rsid w:val="003C4345"/>
    <w:rsid w:val="003C5D4A"/>
    <w:rsid w:val="003C6C6C"/>
    <w:rsid w:val="003C6D07"/>
    <w:rsid w:val="003C704C"/>
    <w:rsid w:val="003C79BD"/>
    <w:rsid w:val="003D3041"/>
    <w:rsid w:val="003D3E67"/>
    <w:rsid w:val="003E2264"/>
    <w:rsid w:val="003E35FC"/>
    <w:rsid w:val="003E3767"/>
    <w:rsid w:val="003E46AA"/>
    <w:rsid w:val="003E4A5E"/>
    <w:rsid w:val="003F1007"/>
    <w:rsid w:val="003F19A5"/>
    <w:rsid w:val="003F3520"/>
    <w:rsid w:val="003F382D"/>
    <w:rsid w:val="003F4172"/>
    <w:rsid w:val="003F66A6"/>
    <w:rsid w:val="003F7960"/>
    <w:rsid w:val="003F7F89"/>
    <w:rsid w:val="00401951"/>
    <w:rsid w:val="00401B7A"/>
    <w:rsid w:val="00401D02"/>
    <w:rsid w:val="00402902"/>
    <w:rsid w:val="00402F4B"/>
    <w:rsid w:val="00404AAA"/>
    <w:rsid w:val="00410ADF"/>
    <w:rsid w:val="00411427"/>
    <w:rsid w:val="00411558"/>
    <w:rsid w:val="00411855"/>
    <w:rsid w:val="00411C0B"/>
    <w:rsid w:val="00411D03"/>
    <w:rsid w:val="00411D22"/>
    <w:rsid w:val="00411FF2"/>
    <w:rsid w:val="00412DD0"/>
    <w:rsid w:val="00415497"/>
    <w:rsid w:val="00415A85"/>
    <w:rsid w:val="00417441"/>
    <w:rsid w:val="00417973"/>
    <w:rsid w:val="00420B04"/>
    <w:rsid w:val="00421245"/>
    <w:rsid w:val="004224F4"/>
    <w:rsid w:val="00422A3E"/>
    <w:rsid w:val="00424A3C"/>
    <w:rsid w:val="0042520F"/>
    <w:rsid w:val="004256F4"/>
    <w:rsid w:val="00425CF6"/>
    <w:rsid w:val="00426277"/>
    <w:rsid w:val="004274A4"/>
    <w:rsid w:val="00430EFE"/>
    <w:rsid w:val="004335C3"/>
    <w:rsid w:val="004405CF"/>
    <w:rsid w:val="00440908"/>
    <w:rsid w:val="00441325"/>
    <w:rsid w:val="00443244"/>
    <w:rsid w:val="00443262"/>
    <w:rsid w:val="00444620"/>
    <w:rsid w:val="004449BE"/>
    <w:rsid w:val="004547C7"/>
    <w:rsid w:val="00456592"/>
    <w:rsid w:val="0045667A"/>
    <w:rsid w:val="0045691B"/>
    <w:rsid w:val="0046374E"/>
    <w:rsid w:val="0046401F"/>
    <w:rsid w:val="0046428E"/>
    <w:rsid w:val="00465071"/>
    <w:rsid w:val="00465546"/>
    <w:rsid w:val="00465B63"/>
    <w:rsid w:val="0046679B"/>
    <w:rsid w:val="00467A41"/>
    <w:rsid w:val="00470F5E"/>
    <w:rsid w:val="00471217"/>
    <w:rsid w:val="00471A60"/>
    <w:rsid w:val="00472B91"/>
    <w:rsid w:val="004746CA"/>
    <w:rsid w:val="00475691"/>
    <w:rsid w:val="0047728A"/>
    <w:rsid w:val="0048047A"/>
    <w:rsid w:val="00481A4E"/>
    <w:rsid w:val="00482E77"/>
    <w:rsid w:val="00484A54"/>
    <w:rsid w:val="00485302"/>
    <w:rsid w:val="00485EC6"/>
    <w:rsid w:val="00486C5C"/>
    <w:rsid w:val="00486F48"/>
    <w:rsid w:val="004877AB"/>
    <w:rsid w:val="00487A57"/>
    <w:rsid w:val="00490CF7"/>
    <w:rsid w:val="00491E99"/>
    <w:rsid w:val="004920AD"/>
    <w:rsid w:val="004929D6"/>
    <w:rsid w:val="004929F8"/>
    <w:rsid w:val="00492B31"/>
    <w:rsid w:val="00495ACC"/>
    <w:rsid w:val="004A0602"/>
    <w:rsid w:val="004A1477"/>
    <w:rsid w:val="004A3C2F"/>
    <w:rsid w:val="004A4EB2"/>
    <w:rsid w:val="004A501D"/>
    <w:rsid w:val="004A51D6"/>
    <w:rsid w:val="004A5BB9"/>
    <w:rsid w:val="004A6A5E"/>
    <w:rsid w:val="004A7CEB"/>
    <w:rsid w:val="004B112F"/>
    <w:rsid w:val="004B1B5D"/>
    <w:rsid w:val="004B2EA3"/>
    <w:rsid w:val="004B4DFC"/>
    <w:rsid w:val="004B5933"/>
    <w:rsid w:val="004B68D2"/>
    <w:rsid w:val="004B795F"/>
    <w:rsid w:val="004C096C"/>
    <w:rsid w:val="004C626A"/>
    <w:rsid w:val="004C70D4"/>
    <w:rsid w:val="004C7480"/>
    <w:rsid w:val="004C7D26"/>
    <w:rsid w:val="004D21C7"/>
    <w:rsid w:val="004D3C28"/>
    <w:rsid w:val="004D4A4D"/>
    <w:rsid w:val="004D51FB"/>
    <w:rsid w:val="004D5983"/>
    <w:rsid w:val="004D6873"/>
    <w:rsid w:val="004D6F01"/>
    <w:rsid w:val="004D70A6"/>
    <w:rsid w:val="004E05D5"/>
    <w:rsid w:val="004E05F4"/>
    <w:rsid w:val="004E3F65"/>
    <w:rsid w:val="004E5FEE"/>
    <w:rsid w:val="004E77D9"/>
    <w:rsid w:val="004E7C36"/>
    <w:rsid w:val="004E7F9E"/>
    <w:rsid w:val="004F0790"/>
    <w:rsid w:val="004F103F"/>
    <w:rsid w:val="004F49E1"/>
    <w:rsid w:val="004F5B0C"/>
    <w:rsid w:val="00502593"/>
    <w:rsid w:val="005026A3"/>
    <w:rsid w:val="00502748"/>
    <w:rsid w:val="0050287B"/>
    <w:rsid w:val="00503EDA"/>
    <w:rsid w:val="0051020A"/>
    <w:rsid w:val="00510868"/>
    <w:rsid w:val="005120A7"/>
    <w:rsid w:val="005120D3"/>
    <w:rsid w:val="00513366"/>
    <w:rsid w:val="00513958"/>
    <w:rsid w:val="00517532"/>
    <w:rsid w:val="00520A0D"/>
    <w:rsid w:val="005219F9"/>
    <w:rsid w:val="00523C5E"/>
    <w:rsid w:val="00524687"/>
    <w:rsid w:val="0052654F"/>
    <w:rsid w:val="00526AAB"/>
    <w:rsid w:val="005278CD"/>
    <w:rsid w:val="00527DF9"/>
    <w:rsid w:val="0053107A"/>
    <w:rsid w:val="00533352"/>
    <w:rsid w:val="00535B07"/>
    <w:rsid w:val="00540649"/>
    <w:rsid w:val="00540E1E"/>
    <w:rsid w:val="00541262"/>
    <w:rsid w:val="00550315"/>
    <w:rsid w:val="00552345"/>
    <w:rsid w:val="0055332A"/>
    <w:rsid w:val="00554C39"/>
    <w:rsid w:val="00555431"/>
    <w:rsid w:val="00556AD1"/>
    <w:rsid w:val="005603B7"/>
    <w:rsid w:val="00562300"/>
    <w:rsid w:val="00562910"/>
    <w:rsid w:val="005630B3"/>
    <w:rsid w:val="00563380"/>
    <w:rsid w:val="00565905"/>
    <w:rsid w:val="00565DBA"/>
    <w:rsid w:val="00565EA5"/>
    <w:rsid w:val="00571387"/>
    <w:rsid w:val="0057172F"/>
    <w:rsid w:val="005723E1"/>
    <w:rsid w:val="00573522"/>
    <w:rsid w:val="00573813"/>
    <w:rsid w:val="00582332"/>
    <w:rsid w:val="00582634"/>
    <w:rsid w:val="00582A5D"/>
    <w:rsid w:val="00582C03"/>
    <w:rsid w:val="0058509E"/>
    <w:rsid w:val="00585412"/>
    <w:rsid w:val="0059068D"/>
    <w:rsid w:val="00590BE9"/>
    <w:rsid w:val="005917D9"/>
    <w:rsid w:val="005924CC"/>
    <w:rsid w:val="00596209"/>
    <w:rsid w:val="005975AF"/>
    <w:rsid w:val="005A1CBB"/>
    <w:rsid w:val="005A2EE1"/>
    <w:rsid w:val="005A5EB3"/>
    <w:rsid w:val="005A7295"/>
    <w:rsid w:val="005B00F6"/>
    <w:rsid w:val="005B0271"/>
    <w:rsid w:val="005B1B7A"/>
    <w:rsid w:val="005B1EE5"/>
    <w:rsid w:val="005B35C8"/>
    <w:rsid w:val="005B3DFA"/>
    <w:rsid w:val="005B50FC"/>
    <w:rsid w:val="005B5909"/>
    <w:rsid w:val="005B7B0B"/>
    <w:rsid w:val="005C136F"/>
    <w:rsid w:val="005C379E"/>
    <w:rsid w:val="005C3AF1"/>
    <w:rsid w:val="005C3EC0"/>
    <w:rsid w:val="005C5B9E"/>
    <w:rsid w:val="005C5C95"/>
    <w:rsid w:val="005C743B"/>
    <w:rsid w:val="005C7B0C"/>
    <w:rsid w:val="005D179F"/>
    <w:rsid w:val="005D2189"/>
    <w:rsid w:val="005D2865"/>
    <w:rsid w:val="005D2D39"/>
    <w:rsid w:val="005D33B1"/>
    <w:rsid w:val="005D4BA4"/>
    <w:rsid w:val="005D79FF"/>
    <w:rsid w:val="005E1D80"/>
    <w:rsid w:val="005E228F"/>
    <w:rsid w:val="005E375F"/>
    <w:rsid w:val="005E5057"/>
    <w:rsid w:val="005E5645"/>
    <w:rsid w:val="005E671F"/>
    <w:rsid w:val="005E6A9D"/>
    <w:rsid w:val="005E7514"/>
    <w:rsid w:val="005E760B"/>
    <w:rsid w:val="005F0156"/>
    <w:rsid w:val="005F05B2"/>
    <w:rsid w:val="005F2A01"/>
    <w:rsid w:val="005F38BD"/>
    <w:rsid w:val="005F412D"/>
    <w:rsid w:val="005F4B00"/>
    <w:rsid w:val="005F56E1"/>
    <w:rsid w:val="005F5A9D"/>
    <w:rsid w:val="005F657F"/>
    <w:rsid w:val="00600273"/>
    <w:rsid w:val="00600622"/>
    <w:rsid w:val="00600A36"/>
    <w:rsid w:val="00600A4D"/>
    <w:rsid w:val="00600FD2"/>
    <w:rsid w:val="0060127C"/>
    <w:rsid w:val="0060249D"/>
    <w:rsid w:val="00602D64"/>
    <w:rsid w:val="00604FDB"/>
    <w:rsid w:val="00607223"/>
    <w:rsid w:val="0060799E"/>
    <w:rsid w:val="00613446"/>
    <w:rsid w:val="00613CED"/>
    <w:rsid w:val="006140C0"/>
    <w:rsid w:val="006143F1"/>
    <w:rsid w:val="00615987"/>
    <w:rsid w:val="006159CA"/>
    <w:rsid w:val="00616D06"/>
    <w:rsid w:val="006178DC"/>
    <w:rsid w:val="006202F0"/>
    <w:rsid w:val="0062332B"/>
    <w:rsid w:val="00624120"/>
    <w:rsid w:val="00626E7E"/>
    <w:rsid w:val="00627835"/>
    <w:rsid w:val="006278E1"/>
    <w:rsid w:val="00627A42"/>
    <w:rsid w:val="006304DF"/>
    <w:rsid w:val="006306A0"/>
    <w:rsid w:val="0063109F"/>
    <w:rsid w:val="00631CAE"/>
    <w:rsid w:val="00633726"/>
    <w:rsid w:val="006345D9"/>
    <w:rsid w:val="006346A2"/>
    <w:rsid w:val="00634B09"/>
    <w:rsid w:val="00640967"/>
    <w:rsid w:val="0064139C"/>
    <w:rsid w:val="006425C2"/>
    <w:rsid w:val="00643A44"/>
    <w:rsid w:val="0064409D"/>
    <w:rsid w:val="00651DAD"/>
    <w:rsid w:val="0065203E"/>
    <w:rsid w:val="00652C27"/>
    <w:rsid w:val="00653249"/>
    <w:rsid w:val="00660ECD"/>
    <w:rsid w:val="00661912"/>
    <w:rsid w:val="006620F3"/>
    <w:rsid w:val="006623B6"/>
    <w:rsid w:val="006650EE"/>
    <w:rsid w:val="00665477"/>
    <w:rsid w:val="006660C4"/>
    <w:rsid w:val="00667369"/>
    <w:rsid w:val="00667482"/>
    <w:rsid w:val="00672758"/>
    <w:rsid w:val="0067541F"/>
    <w:rsid w:val="0067630F"/>
    <w:rsid w:val="00677C7E"/>
    <w:rsid w:val="00677CBF"/>
    <w:rsid w:val="0068040E"/>
    <w:rsid w:val="006826F4"/>
    <w:rsid w:val="0068276E"/>
    <w:rsid w:val="00683B6B"/>
    <w:rsid w:val="00683EEE"/>
    <w:rsid w:val="00685D85"/>
    <w:rsid w:val="00690D8D"/>
    <w:rsid w:val="00690DA5"/>
    <w:rsid w:val="00690EFB"/>
    <w:rsid w:val="0069127B"/>
    <w:rsid w:val="00692A6B"/>
    <w:rsid w:val="00695C77"/>
    <w:rsid w:val="00697040"/>
    <w:rsid w:val="006A1456"/>
    <w:rsid w:val="006A2185"/>
    <w:rsid w:val="006A27A6"/>
    <w:rsid w:val="006A56CD"/>
    <w:rsid w:val="006A6F22"/>
    <w:rsid w:val="006A74FF"/>
    <w:rsid w:val="006A751D"/>
    <w:rsid w:val="006B12A4"/>
    <w:rsid w:val="006B1BF1"/>
    <w:rsid w:val="006B1E55"/>
    <w:rsid w:val="006B6ED3"/>
    <w:rsid w:val="006C0398"/>
    <w:rsid w:val="006C0BF8"/>
    <w:rsid w:val="006C24C2"/>
    <w:rsid w:val="006C27CB"/>
    <w:rsid w:val="006C3971"/>
    <w:rsid w:val="006C5E33"/>
    <w:rsid w:val="006C7425"/>
    <w:rsid w:val="006D0290"/>
    <w:rsid w:val="006D0455"/>
    <w:rsid w:val="006D09EC"/>
    <w:rsid w:val="006D20EB"/>
    <w:rsid w:val="006D4949"/>
    <w:rsid w:val="006D4A96"/>
    <w:rsid w:val="006D5AC2"/>
    <w:rsid w:val="006E395D"/>
    <w:rsid w:val="006E3D0D"/>
    <w:rsid w:val="006E6205"/>
    <w:rsid w:val="006E66E3"/>
    <w:rsid w:val="006E6741"/>
    <w:rsid w:val="006E778E"/>
    <w:rsid w:val="006E784F"/>
    <w:rsid w:val="006F0501"/>
    <w:rsid w:val="006F0E86"/>
    <w:rsid w:val="006F0EF2"/>
    <w:rsid w:val="006F1CB3"/>
    <w:rsid w:val="006F4136"/>
    <w:rsid w:val="006F520B"/>
    <w:rsid w:val="006F5BBF"/>
    <w:rsid w:val="006F6DF5"/>
    <w:rsid w:val="006F6FC5"/>
    <w:rsid w:val="00701245"/>
    <w:rsid w:val="00701352"/>
    <w:rsid w:val="00705BB8"/>
    <w:rsid w:val="00706B3D"/>
    <w:rsid w:val="0071163F"/>
    <w:rsid w:val="007121B1"/>
    <w:rsid w:val="00712603"/>
    <w:rsid w:val="00716740"/>
    <w:rsid w:val="00720DBD"/>
    <w:rsid w:val="0072272C"/>
    <w:rsid w:val="0072400A"/>
    <w:rsid w:val="0072553E"/>
    <w:rsid w:val="007257F1"/>
    <w:rsid w:val="007269B6"/>
    <w:rsid w:val="00727395"/>
    <w:rsid w:val="007277A8"/>
    <w:rsid w:val="00727848"/>
    <w:rsid w:val="00727DC5"/>
    <w:rsid w:val="0073009E"/>
    <w:rsid w:val="007301E6"/>
    <w:rsid w:val="007308E3"/>
    <w:rsid w:val="00732E07"/>
    <w:rsid w:val="00733534"/>
    <w:rsid w:val="0073496C"/>
    <w:rsid w:val="0073735F"/>
    <w:rsid w:val="00740063"/>
    <w:rsid w:val="00740880"/>
    <w:rsid w:val="00741039"/>
    <w:rsid w:val="007420D4"/>
    <w:rsid w:val="00742701"/>
    <w:rsid w:val="00742B06"/>
    <w:rsid w:val="0074368A"/>
    <w:rsid w:val="00743EF0"/>
    <w:rsid w:val="00744F76"/>
    <w:rsid w:val="007456BA"/>
    <w:rsid w:val="0074653E"/>
    <w:rsid w:val="0074669D"/>
    <w:rsid w:val="00747A4D"/>
    <w:rsid w:val="00747D63"/>
    <w:rsid w:val="0075014E"/>
    <w:rsid w:val="00750722"/>
    <w:rsid w:val="007520D7"/>
    <w:rsid w:val="007522F8"/>
    <w:rsid w:val="00752C7D"/>
    <w:rsid w:val="00752C98"/>
    <w:rsid w:val="00753B29"/>
    <w:rsid w:val="00753EFD"/>
    <w:rsid w:val="00755235"/>
    <w:rsid w:val="0075613D"/>
    <w:rsid w:val="00756B30"/>
    <w:rsid w:val="00756B96"/>
    <w:rsid w:val="00761862"/>
    <w:rsid w:val="00765200"/>
    <w:rsid w:val="00767881"/>
    <w:rsid w:val="007732D5"/>
    <w:rsid w:val="0077416D"/>
    <w:rsid w:val="00774531"/>
    <w:rsid w:val="00774BFA"/>
    <w:rsid w:val="00774D65"/>
    <w:rsid w:val="00776A20"/>
    <w:rsid w:val="00777B7B"/>
    <w:rsid w:val="007807B3"/>
    <w:rsid w:val="00780C79"/>
    <w:rsid w:val="0078295B"/>
    <w:rsid w:val="00783571"/>
    <w:rsid w:val="00783D0C"/>
    <w:rsid w:val="00784D7F"/>
    <w:rsid w:val="00785297"/>
    <w:rsid w:val="00785455"/>
    <w:rsid w:val="00785BD5"/>
    <w:rsid w:val="00785F6A"/>
    <w:rsid w:val="00786660"/>
    <w:rsid w:val="0078793A"/>
    <w:rsid w:val="007900AA"/>
    <w:rsid w:val="0079029E"/>
    <w:rsid w:val="007922F5"/>
    <w:rsid w:val="00793043"/>
    <w:rsid w:val="0079472A"/>
    <w:rsid w:val="00794CDB"/>
    <w:rsid w:val="007951DE"/>
    <w:rsid w:val="0079593F"/>
    <w:rsid w:val="007972E0"/>
    <w:rsid w:val="00797D1F"/>
    <w:rsid w:val="007A08ED"/>
    <w:rsid w:val="007A1390"/>
    <w:rsid w:val="007A2D18"/>
    <w:rsid w:val="007A3F29"/>
    <w:rsid w:val="007A7524"/>
    <w:rsid w:val="007A7C38"/>
    <w:rsid w:val="007B10DE"/>
    <w:rsid w:val="007B25E2"/>
    <w:rsid w:val="007B2626"/>
    <w:rsid w:val="007B2BB6"/>
    <w:rsid w:val="007B4510"/>
    <w:rsid w:val="007B473F"/>
    <w:rsid w:val="007B6031"/>
    <w:rsid w:val="007B77E9"/>
    <w:rsid w:val="007C0518"/>
    <w:rsid w:val="007C0968"/>
    <w:rsid w:val="007C38CE"/>
    <w:rsid w:val="007D0506"/>
    <w:rsid w:val="007D0C20"/>
    <w:rsid w:val="007D16BC"/>
    <w:rsid w:val="007D17DF"/>
    <w:rsid w:val="007D2E0C"/>
    <w:rsid w:val="007D57F9"/>
    <w:rsid w:val="007E32AD"/>
    <w:rsid w:val="007E3565"/>
    <w:rsid w:val="007E53B0"/>
    <w:rsid w:val="007E55FE"/>
    <w:rsid w:val="007E5E9C"/>
    <w:rsid w:val="007E6874"/>
    <w:rsid w:val="007E6907"/>
    <w:rsid w:val="007F178E"/>
    <w:rsid w:val="007F2737"/>
    <w:rsid w:val="007F3D5B"/>
    <w:rsid w:val="007F72C0"/>
    <w:rsid w:val="007F7E06"/>
    <w:rsid w:val="00801473"/>
    <w:rsid w:val="00803397"/>
    <w:rsid w:val="00803E42"/>
    <w:rsid w:val="00804D0A"/>
    <w:rsid w:val="00804DDE"/>
    <w:rsid w:val="00805EEA"/>
    <w:rsid w:val="0080621A"/>
    <w:rsid w:val="0080686B"/>
    <w:rsid w:val="00807199"/>
    <w:rsid w:val="0081068C"/>
    <w:rsid w:val="00814575"/>
    <w:rsid w:val="00814B95"/>
    <w:rsid w:val="008201AF"/>
    <w:rsid w:val="00820292"/>
    <w:rsid w:val="00820F06"/>
    <w:rsid w:val="0082104C"/>
    <w:rsid w:val="008217E8"/>
    <w:rsid w:val="00822ADC"/>
    <w:rsid w:val="0082390F"/>
    <w:rsid w:val="00824845"/>
    <w:rsid w:val="00824C5D"/>
    <w:rsid w:val="00825A0D"/>
    <w:rsid w:val="0082770D"/>
    <w:rsid w:val="008313E0"/>
    <w:rsid w:val="00831E97"/>
    <w:rsid w:val="0083245D"/>
    <w:rsid w:val="00832B84"/>
    <w:rsid w:val="0083594A"/>
    <w:rsid w:val="008402C5"/>
    <w:rsid w:val="0084075B"/>
    <w:rsid w:val="008447B6"/>
    <w:rsid w:val="008461C6"/>
    <w:rsid w:val="00846BDB"/>
    <w:rsid w:val="00846C58"/>
    <w:rsid w:val="008473D7"/>
    <w:rsid w:val="008528BF"/>
    <w:rsid w:val="0085291B"/>
    <w:rsid w:val="0085328B"/>
    <w:rsid w:val="0085328F"/>
    <w:rsid w:val="00855884"/>
    <w:rsid w:val="00856B85"/>
    <w:rsid w:val="00856FCE"/>
    <w:rsid w:val="008577E7"/>
    <w:rsid w:val="0086477D"/>
    <w:rsid w:val="00871493"/>
    <w:rsid w:val="00875E7A"/>
    <w:rsid w:val="008761A2"/>
    <w:rsid w:val="008774AC"/>
    <w:rsid w:val="00882468"/>
    <w:rsid w:val="00882E7A"/>
    <w:rsid w:val="00882F6E"/>
    <w:rsid w:val="00883B20"/>
    <w:rsid w:val="00883C36"/>
    <w:rsid w:val="008856E1"/>
    <w:rsid w:val="00886F00"/>
    <w:rsid w:val="008913EC"/>
    <w:rsid w:val="00891F63"/>
    <w:rsid w:val="00892903"/>
    <w:rsid w:val="008930E9"/>
    <w:rsid w:val="00893A99"/>
    <w:rsid w:val="008979BA"/>
    <w:rsid w:val="008A0604"/>
    <w:rsid w:val="008A2907"/>
    <w:rsid w:val="008A2F1C"/>
    <w:rsid w:val="008A3A22"/>
    <w:rsid w:val="008A406D"/>
    <w:rsid w:val="008A47C1"/>
    <w:rsid w:val="008A5CA8"/>
    <w:rsid w:val="008A5F1C"/>
    <w:rsid w:val="008B0118"/>
    <w:rsid w:val="008B465F"/>
    <w:rsid w:val="008B6E28"/>
    <w:rsid w:val="008C0C0F"/>
    <w:rsid w:val="008C116A"/>
    <w:rsid w:val="008C11A9"/>
    <w:rsid w:val="008C15FB"/>
    <w:rsid w:val="008C2D53"/>
    <w:rsid w:val="008C3452"/>
    <w:rsid w:val="008C4538"/>
    <w:rsid w:val="008C459B"/>
    <w:rsid w:val="008C5363"/>
    <w:rsid w:val="008C547B"/>
    <w:rsid w:val="008C7A86"/>
    <w:rsid w:val="008C7C5D"/>
    <w:rsid w:val="008D1B48"/>
    <w:rsid w:val="008D1DF6"/>
    <w:rsid w:val="008D2DDA"/>
    <w:rsid w:val="008D327D"/>
    <w:rsid w:val="008D602B"/>
    <w:rsid w:val="008D6B52"/>
    <w:rsid w:val="008E32DD"/>
    <w:rsid w:val="008E34B1"/>
    <w:rsid w:val="008E5648"/>
    <w:rsid w:val="008E7423"/>
    <w:rsid w:val="008F0557"/>
    <w:rsid w:val="008F1C8D"/>
    <w:rsid w:val="008F2B84"/>
    <w:rsid w:val="008F2C21"/>
    <w:rsid w:val="008F34D7"/>
    <w:rsid w:val="008F5DE1"/>
    <w:rsid w:val="008F68C5"/>
    <w:rsid w:val="008F7794"/>
    <w:rsid w:val="00900B20"/>
    <w:rsid w:val="00900D1F"/>
    <w:rsid w:val="009012F2"/>
    <w:rsid w:val="00902961"/>
    <w:rsid w:val="009040FC"/>
    <w:rsid w:val="009049B4"/>
    <w:rsid w:val="00904CEB"/>
    <w:rsid w:val="00905E1C"/>
    <w:rsid w:val="009061D0"/>
    <w:rsid w:val="00910259"/>
    <w:rsid w:val="009118B7"/>
    <w:rsid w:val="00913577"/>
    <w:rsid w:val="00914D04"/>
    <w:rsid w:val="00914E09"/>
    <w:rsid w:val="009162C8"/>
    <w:rsid w:val="009167F5"/>
    <w:rsid w:val="00916D02"/>
    <w:rsid w:val="00921581"/>
    <w:rsid w:val="00922A99"/>
    <w:rsid w:val="00923D78"/>
    <w:rsid w:val="00924646"/>
    <w:rsid w:val="00924B97"/>
    <w:rsid w:val="00925ADE"/>
    <w:rsid w:val="009266CA"/>
    <w:rsid w:val="00927F64"/>
    <w:rsid w:val="0093009D"/>
    <w:rsid w:val="009302F8"/>
    <w:rsid w:val="00931AAA"/>
    <w:rsid w:val="00931E45"/>
    <w:rsid w:val="00932A32"/>
    <w:rsid w:val="00935F7B"/>
    <w:rsid w:val="00935FC2"/>
    <w:rsid w:val="009372DB"/>
    <w:rsid w:val="00937996"/>
    <w:rsid w:val="00937E0C"/>
    <w:rsid w:val="009409B0"/>
    <w:rsid w:val="0094245D"/>
    <w:rsid w:val="00943D72"/>
    <w:rsid w:val="009457B9"/>
    <w:rsid w:val="00946501"/>
    <w:rsid w:val="0094653E"/>
    <w:rsid w:val="00947F97"/>
    <w:rsid w:val="009531FB"/>
    <w:rsid w:val="0095440A"/>
    <w:rsid w:val="00956C52"/>
    <w:rsid w:val="0096057A"/>
    <w:rsid w:val="00963983"/>
    <w:rsid w:val="00964541"/>
    <w:rsid w:val="009652B7"/>
    <w:rsid w:val="00965F18"/>
    <w:rsid w:val="0096618C"/>
    <w:rsid w:val="00966A1C"/>
    <w:rsid w:val="00967572"/>
    <w:rsid w:val="0097188E"/>
    <w:rsid w:val="0097213A"/>
    <w:rsid w:val="00972D75"/>
    <w:rsid w:val="009743EF"/>
    <w:rsid w:val="00976516"/>
    <w:rsid w:val="00976BD3"/>
    <w:rsid w:val="00977C4A"/>
    <w:rsid w:val="009808FD"/>
    <w:rsid w:val="00980A42"/>
    <w:rsid w:val="00981492"/>
    <w:rsid w:val="00981852"/>
    <w:rsid w:val="00983546"/>
    <w:rsid w:val="00983767"/>
    <w:rsid w:val="009958BA"/>
    <w:rsid w:val="009963B9"/>
    <w:rsid w:val="009A051B"/>
    <w:rsid w:val="009A05DC"/>
    <w:rsid w:val="009A0C9A"/>
    <w:rsid w:val="009A0DDA"/>
    <w:rsid w:val="009A5329"/>
    <w:rsid w:val="009A66B4"/>
    <w:rsid w:val="009A676D"/>
    <w:rsid w:val="009A7EEC"/>
    <w:rsid w:val="009B2785"/>
    <w:rsid w:val="009B2B79"/>
    <w:rsid w:val="009B4ABA"/>
    <w:rsid w:val="009B5174"/>
    <w:rsid w:val="009B5944"/>
    <w:rsid w:val="009B5C8C"/>
    <w:rsid w:val="009C2743"/>
    <w:rsid w:val="009C2E54"/>
    <w:rsid w:val="009C2F0C"/>
    <w:rsid w:val="009C4C72"/>
    <w:rsid w:val="009C5BCD"/>
    <w:rsid w:val="009C645D"/>
    <w:rsid w:val="009D12CD"/>
    <w:rsid w:val="009D14B2"/>
    <w:rsid w:val="009D38C6"/>
    <w:rsid w:val="009D4863"/>
    <w:rsid w:val="009E3AF0"/>
    <w:rsid w:val="009E451F"/>
    <w:rsid w:val="009E5BEF"/>
    <w:rsid w:val="009E663A"/>
    <w:rsid w:val="009E7265"/>
    <w:rsid w:val="009E729A"/>
    <w:rsid w:val="009E7A81"/>
    <w:rsid w:val="009F02A1"/>
    <w:rsid w:val="009F1298"/>
    <w:rsid w:val="009F138C"/>
    <w:rsid w:val="009F184B"/>
    <w:rsid w:val="009F1A41"/>
    <w:rsid w:val="009F2341"/>
    <w:rsid w:val="009F2CF8"/>
    <w:rsid w:val="009F4361"/>
    <w:rsid w:val="00A0191D"/>
    <w:rsid w:val="00A01962"/>
    <w:rsid w:val="00A02E33"/>
    <w:rsid w:val="00A040D5"/>
    <w:rsid w:val="00A04F7A"/>
    <w:rsid w:val="00A10DEB"/>
    <w:rsid w:val="00A12425"/>
    <w:rsid w:val="00A12657"/>
    <w:rsid w:val="00A17C81"/>
    <w:rsid w:val="00A20729"/>
    <w:rsid w:val="00A211B6"/>
    <w:rsid w:val="00A21B4E"/>
    <w:rsid w:val="00A21CC9"/>
    <w:rsid w:val="00A22D26"/>
    <w:rsid w:val="00A24640"/>
    <w:rsid w:val="00A24925"/>
    <w:rsid w:val="00A25111"/>
    <w:rsid w:val="00A25B69"/>
    <w:rsid w:val="00A311DC"/>
    <w:rsid w:val="00A32DA3"/>
    <w:rsid w:val="00A32EFD"/>
    <w:rsid w:val="00A32F30"/>
    <w:rsid w:val="00A37EBA"/>
    <w:rsid w:val="00A37FA9"/>
    <w:rsid w:val="00A41388"/>
    <w:rsid w:val="00A4197F"/>
    <w:rsid w:val="00A430C0"/>
    <w:rsid w:val="00A43A90"/>
    <w:rsid w:val="00A44836"/>
    <w:rsid w:val="00A47084"/>
    <w:rsid w:val="00A4792F"/>
    <w:rsid w:val="00A47C62"/>
    <w:rsid w:val="00A50E76"/>
    <w:rsid w:val="00A520D8"/>
    <w:rsid w:val="00A53C5B"/>
    <w:rsid w:val="00A5414E"/>
    <w:rsid w:val="00A559EA"/>
    <w:rsid w:val="00A57329"/>
    <w:rsid w:val="00A60240"/>
    <w:rsid w:val="00A60A42"/>
    <w:rsid w:val="00A6191B"/>
    <w:rsid w:val="00A62FE2"/>
    <w:rsid w:val="00A63CE3"/>
    <w:rsid w:val="00A6401D"/>
    <w:rsid w:val="00A65593"/>
    <w:rsid w:val="00A661FB"/>
    <w:rsid w:val="00A66D63"/>
    <w:rsid w:val="00A6797E"/>
    <w:rsid w:val="00A70844"/>
    <w:rsid w:val="00A74789"/>
    <w:rsid w:val="00A74A4C"/>
    <w:rsid w:val="00A773EB"/>
    <w:rsid w:val="00A80013"/>
    <w:rsid w:val="00A80E8A"/>
    <w:rsid w:val="00A9029A"/>
    <w:rsid w:val="00A936E6"/>
    <w:rsid w:val="00A94780"/>
    <w:rsid w:val="00A961ED"/>
    <w:rsid w:val="00AA0FEC"/>
    <w:rsid w:val="00AA1A37"/>
    <w:rsid w:val="00AA33CB"/>
    <w:rsid w:val="00AA3CC2"/>
    <w:rsid w:val="00AA4EC4"/>
    <w:rsid w:val="00AA5059"/>
    <w:rsid w:val="00AA537D"/>
    <w:rsid w:val="00AA5C76"/>
    <w:rsid w:val="00AA5DB9"/>
    <w:rsid w:val="00AB0983"/>
    <w:rsid w:val="00AB1817"/>
    <w:rsid w:val="00AB1870"/>
    <w:rsid w:val="00AB2B10"/>
    <w:rsid w:val="00AB5AD6"/>
    <w:rsid w:val="00AC182F"/>
    <w:rsid w:val="00AC219D"/>
    <w:rsid w:val="00AC267C"/>
    <w:rsid w:val="00AC4189"/>
    <w:rsid w:val="00AC445D"/>
    <w:rsid w:val="00AC76FA"/>
    <w:rsid w:val="00AC7D61"/>
    <w:rsid w:val="00AD1364"/>
    <w:rsid w:val="00AD2E2E"/>
    <w:rsid w:val="00AD308B"/>
    <w:rsid w:val="00AD3E8F"/>
    <w:rsid w:val="00AD647F"/>
    <w:rsid w:val="00AD669D"/>
    <w:rsid w:val="00AE0B13"/>
    <w:rsid w:val="00AE1891"/>
    <w:rsid w:val="00AE202A"/>
    <w:rsid w:val="00AE2C2C"/>
    <w:rsid w:val="00AE38B0"/>
    <w:rsid w:val="00AE3D82"/>
    <w:rsid w:val="00AE46BF"/>
    <w:rsid w:val="00AE5ECC"/>
    <w:rsid w:val="00AE7A9D"/>
    <w:rsid w:val="00AF05D0"/>
    <w:rsid w:val="00AF077A"/>
    <w:rsid w:val="00AF2904"/>
    <w:rsid w:val="00AF50DB"/>
    <w:rsid w:val="00AF5614"/>
    <w:rsid w:val="00AF5722"/>
    <w:rsid w:val="00AF60A4"/>
    <w:rsid w:val="00AF71C5"/>
    <w:rsid w:val="00AF7315"/>
    <w:rsid w:val="00B00185"/>
    <w:rsid w:val="00B003E3"/>
    <w:rsid w:val="00B00FF0"/>
    <w:rsid w:val="00B010C4"/>
    <w:rsid w:val="00B0213A"/>
    <w:rsid w:val="00B03F87"/>
    <w:rsid w:val="00B043C0"/>
    <w:rsid w:val="00B1023B"/>
    <w:rsid w:val="00B10F33"/>
    <w:rsid w:val="00B12460"/>
    <w:rsid w:val="00B126AF"/>
    <w:rsid w:val="00B130AB"/>
    <w:rsid w:val="00B13267"/>
    <w:rsid w:val="00B13ADC"/>
    <w:rsid w:val="00B14611"/>
    <w:rsid w:val="00B14C32"/>
    <w:rsid w:val="00B14DD4"/>
    <w:rsid w:val="00B16990"/>
    <w:rsid w:val="00B16CD7"/>
    <w:rsid w:val="00B17337"/>
    <w:rsid w:val="00B20272"/>
    <w:rsid w:val="00B226D9"/>
    <w:rsid w:val="00B234DD"/>
    <w:rsid w:val="00B2577E"/>
    <w:rsid w:val="00B315EC"/>
    <w:rsid w:val="00B32D53"/>
    <w:rsid w:val="00B3300B"/>
    <w:rsid w:val="00B341E5"/>
    <w:rsid w:val="00B351DA"/>
    <w:rsid w:val="00B36C1C"/>
    <w:rsid w:val="00B3766C"/>
    <w:rsid w:val="00B37D09"/>
    <w:rsid w:val="00B40CBC"/>
    <w:rsid w:val="00B415A1"/>
    <w:rsid w:val="00B41F71"/>
    <w:rsid w:val="00B45E6F"/>
    <w:rsid w:val="00B472B8"/>
    <w:rsid w:val="00B504B5"/>
    <w:rsid w:val="00B50661"/>
    <w:rsid w:val="00B50B00"/>
    <w:rsid w:val="00B5190F"/>
    <w:rsid w:val="00B51FA9"/>
    <w:rsid w:val="00B530F1"/>
    <w:rsid w:val="00B53193"/>
    <w:rsid w:val="00B55C27"/>
    <w:rsid w:val="00B55DA6"/>
    <w:rsid w:val="00B567B7"/>
    <w:rsid w:val="00B56B05"/>
    <w:rsid w:val="00B57758"/>
    <w:rsid w:val="00B60509"/>
    <w:rsid w:val="00B606CD"/>
    <w:rsid w:val="00B60FBF"/>
    <w:rsid w:val="00B610F8"/>
    <w:rsid w:val="00B61583"/>
    <w:rsid w:val="00B703AB"/>
    <w:rsid w:val="00B70B04"/>
    <w:rsid w:val="00B71223"/>
    <w:rsid w:val="00B75C36"/>
    <w:rsid w:val="00B772DB"/>
    <w:rsid w:val="00B82A57"/>
    <w:rsid w:val="00B82ABA"/>
    <w:rsid w:val="00B83650"/>
    <w:rsid w:val="00B83E6B"/>
    <w:rsid w:val="00B8432C"/>
    <w:rsid w:val="00B85F0D"/>
    <w:rsid w:val="00B86291"/>
    <w:rsid w:val="00B86877"/>
    <w:rsid w:val="00B87B64"/>
    <w:rsid w:val="00B9075D"/>
    <w:rsid w:val="00B90F4B"/>
    <w:rsid w:val="00B92AC9"/>
    <w:rsid w:val="00B934D4"/>
    <w:rsid w:val="00B9392A"/>
    <w:rsid w:val="00B96A8D"/>
    <w:rsid w:val="00B97552"/>
    <w:rsid w:val="00BA1901"/>
    <w:rsid w:val="00BA2FDE"/>
    <w:rsid w:val="00BA3434"/>
    <w:rsid w:val="00BB2A9F"/>
    <w:rsid w:val="00BB2F8B"/>
    <w:rsid w:val="00BB3ACA"/>
    <w:rsid w:val="00BB5720"/>
    <w:rsid w:val="00BB5D52"/>
    <w:rsid w:val="00BB6745"/>
    <w:rsid w:val="00BB7405"/>
    <w:rsid w:val="00BC0A42"/>
    <w:rsid w:val="00BC1989"/>
    <w:rsid w:val="00BC1F2A"/>
    <w:rsid w:val="00BC207E"/>
    <w:rsid w:val="00BC305D"/>
    <w:rsid w:val="00BC3208"/>
    <w:rsid w:val="00BC3272"/>
    <w:rsid w:val="00BC32F4"/>
    <w:rsid w:val="00BC3F53"/>
    <w:rsid w:val="00BC4043"/>
    <w:rsid w:val="00BC707E"/>
    <w:rsid w:val="00BD0ACF"/>
    <w:rsid w:val="00BD2055"/>
    <w:rsid w:val="00BD274E"/>
    <w:rsid w:val="00BD5088"/>
    <w:rsid w:val="00BD68C6"/>
    <w:rsid w:val="00BD7C90"/>
    <w:rsid w:val="00BD7E48"/>
    <w:rsid w:val="00BE0193"/>
    <w:rsid w:val="00BE135E"/>
    <w:rsid w:val="00BE17CE"/>
    <w:rsid w:val="00BE2315"/>
    <w:rsid w:val="00BE3ABC"/>
    <w:rsid w:val="00BE3F56"/>
    <w:rsid w:val="00BE4772"/>
    <w:rsid w:val="00BE4F10"/>
    <w:rsid w:val="00BE59B1"/>
    <w:rsid w:val="00BE6E84"/>
    <w:rsid w:val="00BE7826"/>
    <w:rsid w:val="00BF064E"/>
    <w:rsid w:val="00BF3D2B"/>
    <w:rsid w:val="00BF4949"/>
    <w:rsid w:val="00BF6151"/>
    <w:rsid w:val="00BF7DB5"/>
    <w:rsid w:val="00BF7DFC"/>
    <w:rsid w:val="00C022B6"/>
    <w:rsid w:val="00C04F47"/>
    <w:rsid w:val="00C06E7F"/>
    <w:rsid w:val="00C07932"/>
    <w:rsid w:val="00C134F6"/>
    <w:rsid w:val="00C141D7"/>
    <w:rsid w:val="00C1438E"/>
    <w:rsid w:val="00C14B8C"/>
    <w:rsid w:val="00C150FA"/>
    <w:rsid w:val="00C15B28"/>
    <w:rsid w:val="00C17F9B"/>
    <w:rsid w:val="00C22045"/>
    <w:rsid w:val="00C23DDE"/>
    <w:rsid w:val="00C23F0C"/>
    <w:rsid w:val="00C240EE"/>
    <w:rsid w:val="00C24297"/>
    <w:rsid w:val="00C24545"/>
    <w:rsid w:val="00C25B0E"/>
    <w:rsid w:val="00C25C47"/>
    <w:rsid w:val="00C2780D"/>
    <w:rsid w:val="00C30DF3"/>
    <w:rsid w:val="00C3132D"/>
    <w:rsid w:val="00C315B7"/>
    <w:rsid w:val="00C31FF5"/>
    <w:rsid w:val="00C32118"/>
    <w:rsid w:val="00C32A7E"/>
    <w:rsid w:val="00C35461"/>
    <w:rsid w:val="00C35D3E"/>
    <w:rsid w:val="00C35F57"/>
    <w:rsid w:val="00C372BA"/>
    <w:rsid w:val="00C378DF"/>
    <w:rsid w:val="00C404A0"/>
    <w:rsid w:val="00C41C8B"/>
    <w:rsid w:val="00C42D46"/>
    <w:rsid w:val="00C4381B"/>
    <w:rsid w:val="00C43C0A"/>
    <w:rsid w:val="00C45135"/>
    <w:rsid w:val="00C45F72"/>
    <w:rsid w:val="00C46781"/>
    <w:rsid w:val="00C46B51"/>
    <w:rsid w:val="00C46FF4"/>
    <w:rsid w:val="00C510FC"/>
    <w:rsid w:val="00C54F0E"/>
    <w:rsid w:val="00C57171"/>
    <w:rsid w:val="00C57FB2"/>
    <w:rsid w:val="00C603EB"/>
    <w:rsid w:val="00C6144F"/>
    <w:rsid w:val="00C61E04"/>
    <w:rsid w:val="00C627CA"/>
    <w:rsid w:val="00C640F1"/>
    <w:rsid w:val="00C6589F"/>
    <w:rsid w:val="00C66382"/>
    <w:rsid w:val="00C67CAF"/>
    <w:rsid w:val="00C70C40"/>
    <w:rsid w:val="00C71547"/>
    <w:rsid w:val="00C71D71"/>
    <w:rsid w:val="00C73CF5"/>
    <w:rsid w:val="00C73D78"/>
    <w:rsid w:val="00C73F9F"/>
    <w:rsid w:val="00C76153"/>
    <w:rsid w:val="00C76C60"/>
    <w:rsid w:val="00C803DE"/>
    <w:rsid w:val="00C811A7"/>
    <w:rsid w:val="00C81CD6"/>
    <w:rsid w:val="00C831A9"/>
    <w:rsid w:val="00C84B67"/>
    <w:rsid w:val="00C853AD"/>
    <w:rsid w:val="00C86346"/>
    <w:rsid w:val="00C87D18"/>
    <w:rsid w:val="00C91DEC"/>
    <w:rsid w:val="00C92311"/>
    <w:rsid w:val="00C92E9C"/>
    <w:rsid w:val="00C93507"/>
    <w:rsid w:val="00C95719"/>
    <w:rsid w:val="00C975F5"/>
    <w:rsid w:val="00CA0BE1"/>
    <w:rsid w:val="00CA1318"/>
    <w:rsid w:val="00CA44B5"/>
    <w:rsid w:val="00CA6CDE"/>
    <w:rsid w:val="00CA738C"/>
    <w:rsid w:val="00CB01E1"/>
    <w:rsid w:val="00CB0824"/>
    <w:rsid w:val="00CB0A78"/>
    <w:rsid w:val="00CB0C18"/>
    <w:rsid w:val="00CB0DD1"/>
    <w:rsid w:val="00CB1AC2"/>
    <w:rsid w:val="00CB4B01"/>
    <w:rsid w:val="00CB4EFD"/>
    <w:rsid w:val="00CC09FA"/>
    <w:rsid w:val="00CC2A78"/>
    <w:rsid w:val="00CC2D9C"/>
    <w:rsid w:val="00CC3CB9"/>
    <w:rsid w:val="00CC5EE6"/>
    <w:rsid w:val="00CC768B"/>
    <w:rsid w:val="00CC7C52"/>
    <w:rsid w:val="00CD2090"/>
    <w:rsid w:val="00CD4E45"/>
    <w:rsid w:val="00CD751C"/>
    <w:rsid w:val="00CE024A"/>
    <w:rsid w:val="00CE1359"/>
    <w:rsid w:val="00CE4DA8"/>
    <w:rsid w:val="00CE539D"/>
    <w:rsid w:val="00CE62B2"/>
    <w:rsid w:val="00CF0BDA"/>
    <w:rsid w:val="00CF2FAF"/>
    <w:rsid w:val="00CF5C48"/>
    <w:rsid w:val="00CF7F51"/>
    <w:rsid w:val="00D01D0B"/>
    <w:rsid w:val="00D01EF8"/>
    <w:rsid w:val="00D01F01"/>
    <w:rsid w:val="00D022F8"/>
    <w:rsid w:val="00D02342"/>
    <w:rsid w:val="00D02AE2"/>
    <w:rsid w:val="00D039E7"/>
    <w:rsid w:val="00D03AF3"/>
    <w:rsid w:val="00D066EF"/>
    <w:rsid w:val="00D11051"/>
    <w:rsid w:val="00D12898"/>
    <w:rsid w:val="00D12CAE"/>
    <w:rsid w:val="00D14023"/>
    <w:rsid w:val="00D1500A"/>
    <w:rsid w:val="00D15EDF"/>
    <w:rsid w:val="00D17B49"/>
    <w:rsid w:val="00D17FBD"/>
    <w:rsid w:val="00D203AF"/>
    <w:rsid w:val="00D21C2E"/>
    <w:rsid w:val="00D233FF"/>
    <w:rsid w:val="00D24320"/>
    <w:rsid w:val="00D25A03"/>
    <w:rsid w:val="00D269C2"/>
    <w:rsid w:val="00D27FC1"/>
    <w:rsid w:val="00D34913"/>
    <w:rsid w:val="00D36D0A"/>
    <w:rsid w:val="00D36D43"/>
    <w:rsid w:val="00D36F80"/>
    <w:rsid w:val="00D37115"/>
    <w:rsid w:val="00D3791C"/>
    <w:rsid w:val="00D418F3"/>
    <w:rsid w:val="00D42AB3"/>
    <w:rsid w:val="00D448D4"/>
    <w:rsid w:val="00D46370"/>
    <w:rsid w:val="00D46ED9"/>
    <w:rsid w:val="00D46F87"/>
    <w:rsid w:val="00D51422"/>
    <w:rsid w:val="00D51A7F"/>
    <w:rsid w:val="00D51CC2"/>
    <w:rsid w:val="00D51FF4"/>
    <w:rsid w:val="00D52AE5"/>
    <w:rsid w:val="00D52C3F"/>
    <w:rsid w:val="00D54A6E"/>
    <w:rsid w:val="00D54D51"/>
    <w:rsid w:val="00D559B2"/>
    <w:rsid w:val="00D57BCF"/>
    <w:rsid w:val="00D602DE"/>
    <w:rsid w:val="00D60DD6"/>
    <w:rsid w:val="00D6105C"/>
    <w:rsid w:val="00D64008"/>
    <w:rsid w:val="00D65882"/>
    <w:rsid w:val="00D671F8"/>
    <w:rsid w:val="00D674BE"/>
    <w:rsid w:val="00D7039B"/>
    <w:rsid w:val="00D71426"/>
    <w:rsid w:val="00D72707"/>
    <w:rsid w:val="00D7363A"/>
    <w:rsid w:val="00D73B6F"/>
    <w:rsid w:val="00D74770"/>
    <w:rsid w:val="00D74923"/>
    <w:rsid w:val="00D77C15"/>
    <w:rsid w:val="00D77F6B"/>
    <w:rsid w:val="00D8284A"/>
    <w:rsid w:val="00D8464F"/>
    <w:rsid w:val="00D84A5E"/>
    <w:rsid w:val="00D84CF1"/>
    <w:rsid w:val="00D87E71"/>
    <w:rsid w:val="00D87F8D"/>
    <w:rsid w:val="00D90DCB"/>
    <w:rsid w:val="00D93CDE"/>
    <w:rsid w:val="00D94298"/>
    <w:rsid w:val="00D95525"/>
    <w:rsid w:val="00D95A63"/>
    <w:rsid w:val="00DA08D8"/>
    <w:rsid w:val="00DA291F"/>
    <w:rsid w:val="00DA3A55"/>
    <w:rsid w:val="00DA6E67"/>
    <w:rsid w:val="00DA7613"/>
    <w:rsid w:val="00DB4199"/>
    <w:rsid w:val="00DB7C18"/>
    <w:rsid w:val="00DC0892"/>
    <w:rsid w:val="00DC18A7"/>
    <w:rsid w:val="00DC1D33"/>
    <w:rsid w:val="00DC3A2C"/>
    <w:rsid w:val="00DC43A2"/>
    <w:rsid w:val="00DC488B"/>
    <w:rsid w:val="00DC66C3"/>
    <w:rsid w:val="00DC7B73"/>
    <w:rsid w:val="00DD01B2"/>
    <w:rsid w:val="00DD2BE0"/>
    <w:rsid w:val="00DD543A"/>
    <w:rsid w:val="00DD5C8F"/>
    <w:rsid w:val="00DD7D98"/>
    <w:rsid w:val="00DE36D6"/>
    <w:rsid w:val="00DF2872"/>
    <w:rsid w:val="00DF28E1"/>
    <w:rsid w:val="00DF2A72"/>
    <w:rsid w:val="00DF4DC3"/>
    <w:rsid w:val="00DF5202"/>
    <w:rsid w:val="00DF6BE9"/>
    <w:rsid w:val="00DF6F18"/>
    <w:rsid w:val="00E00C50"/>
    <w:rsid w:val="00E026AB"/>
    <w:rsid w:val="00E02A63"/>
    <w:rsid w:val="00E032AE"/>
    <w:rsid w:val="00E04759"/>
    <w:rsid w:val="00E050BD"/>
    <w:rsid w:val="00E07047"/>
    <w:rsid w:val="00E07DB1"/>
    <w:rsid w:val="00E125BE"/>
    <w:rsid w:val="00E14284"/>
    <w:rsid w:val="00E16258"/>
    <w:rsid w:val="00E175E1"/>
    <w:rsid w:val="00E17B87"/>
    <w:rsid w:val="00E2003C"/>
    <w:rsid w:val="00E20E60"/>
    <w:rsid w:val="00E239C6"/>
    <w:rsid w:val="00E256EE"/>
    <w:rsid w:val="00E26347"/>
    <w:rsid w:val="00E26668"/>
    <w:rsid w:val="00E307CE"/>
    <w:rsid w:val="00E32C37"/>
    <w:rsid w:val="00E34D24"/>
    <w:rsid w:val="00E34D4A"/>
    <w:rsid w:val="00E37C0E"/>
    <w:rsid w:val="00E37ED4"/>
    <w:rsid w:val="00E41701"/>
    <w:rsid w:val="00E41838"/>
    <w:rsid w:val="00E42001"/>
    <w:rsid w:val="00E43E8C"/>
    <w:rsid w:val="00E44646"/>
    <w:rsid w:val="00E44B5A"/>
    <w:rsid w:val="00E45002"/>
    <w:rsid w:val="00E450E2"/>
    <w:rsid w:val="00E5002C"/>
    <w:rsid w:val="00E53280"/>
    <w:rsid w:val="00E540BE"/>
    <w:rsid w:val="00E553DD"/>
    <w:rsid w:val="00E554CE"/>
    <w:rsid w:val="00E5569D"/>
    <w:rsid w:val="00E570A5"/>
    <w:rsid w:val="00E577D5"/>
    <w:rsid w:val="00E57F60"/>
    <w:rsid w:val="00E62047"/>
    <w:rsid w:val="00E6323F"/>
    <w:rsid w:val="00E632FB"/>
    <w:rsid w:val="00E67675"/>
    <w:rsid w:val="00E67A8E"/>
    <w:rsid w:val="00E7259E"/>
    <w:rsid w:val="00E731FC"/>
    <w:rsid w:val="00E7475D"/>
    <w:rsid w:val="00E74CC8"/>
    <w:rsid w:val="00E74DB8"/>
    <w:rsid w:val="00E7511D"/>
    <w:rsid w:val="00E76079"/>
    <w:rsid w:val="00E763BC"/>
    <w:rsid w:val="00E84893"/>
    <w:rsid w:val="00E84CC6"/>
    <w:rsid w:val="00E87727"/>
    <w:rsid w:val="00E877C3"/>
    <w:rsid w:val="00E92757"/>
    <w:rsid w:val="00E941AD"/>
    <w:rsid w:val="00E9481A"/>
    <w:rsid w:val="00E953B0"/>
    <w:rsid w:val="00EA00E3"/>
    <w:rsid w:val="00EA3526"/>
    <w:rsid w:val="00EA532B"/>
    <w:rsid w:val="00EA5B47"/>
    <w:rsid w:val="00EA6DE7"/>
    <w:rsid w:val="00EA7AE6"/>
    <w:rsid w:val="00EA7F9B"/>
    <w:rsid w:val="00EB174E"/>
    <w:rsid w:val="00EB243E"/>
    <w:rsid w:val="00EB27FE"/>
    <w:rsid w:val="00EB2EBC"/>
    <w:rsid w:val="00EB3633"/>
    <w:rsid w:val="00EB4A24"/>
    <w:rsid w:val="00EB6118"/>
    <w:rsid w:val="00EB66DF"/>
    <w:rsid w:val="00EC018A"/>
    <w:rsid w:val="00EC0360"/>
    <w:rsid w:val="00EC3178"/>
    <w:rsid w:val="00EC3DAE"/>
    <w:rsid w:val="00EC45CD"/>
    <w:rsid w:val="00EC4D99"/>
    <w:rsid w:val="00EC5EEB"/>
    <w:rsid w:val="00EC6951"/>
    <w:rsid w:val="00EC6BD7"/>
    <w:rsid w:val="00EC74C8"/>
    <w:rsid w:val="00ED23B3"/>
    <w:rsid w:val="00ED7F4F"/>
    <w:rsid w:val="00EE03EC"/>
    <w:rsid w:val="00EE0731"/>
    <w:rsid w:val="00EE2562"/>
    <w:rsid w:val="00EE2825"/>
    <w:rsid w:val="00EE2B03"/>
    <w:rsid w:val="00EE493A"/>
    <w:rsid w:val="00EE4C1E"/>
    <w:rsid w:val="00EE5DD6"/>
    <w:rsid w:val="00EE5EE3"/>
    <w:rsid w:val="00EE69C8"/>
    <w:rsid w:val="00EE7360"/>
    <w:rsid w:val="00EF000F"/>
    <w:rsid w:val="00EF0A8F"/>
    <w:rsid w:val="00EF1282"/>
    <w:rsid w:val="00EF261D"/>
    <w:rsid w:val="00EF38C8"/>
    <w:rsid w:val="00EF42BD"/>
    <w:rsid w:val="00EF7876"/>
    <w:rsid w:val="00F0010C"/>
    <w:rsid w:val="00F009C7"/>
    <w:rsid w:val="00F00FAD"/>
    <w:rsid w:val="00F01DD3"/>
    <w:rsid w:val="00F02628"/>
    <w:rsid w:val="00F0336C"/>
    <w:rsid w:val="00F04198"/>
    <w:rsid w:val="00F05335"/>
    <w:rsid w:val="00F0605D"/>
    <w:rsid w:val="00F076F9"/>
    <w:rsid w:val="00F10F28"/>
    <w:rsid w:val="00F12CC0"/>
    <w:rsid w:val="00F12FDC"/>
    <w:rsid w:val="00F13AE0"/>
    <w:rsid w:val="00F16DA5"/>
    <w:rsid w:val="00F17A26"/>
    <w:rsid w:val="00F21A0F"/>
    <w:rsid w:val="00F22283"/>
    <w:rsid w:val="00F22483"/>
    <w:rsid w:val="00F22BB4"/>
    <w:rsid w:val="00F2429B"/>
    <w:rsid w:val="00F24549"/>
    <w:rsid w:val="00F26312"/>
    <w:rsid w:val="00F31760"/>
    <w:rsid w:val="00F32DB6"/>
    <w:rsid w:val="00F33606"/>
    <w:rsid w:val="00F339F9"/>
    <w:rsid w:val="00F34463"/>
    <w:rsid w:val="00F35E66"/>
    <w:rsid w:val="00F35EA3"/>
    <w:rsid w:val="00F37794"/>
    <w:rsid w:val="00F40D2D"/>
    <w:rsid w:val="00F4190E"/>
    <w:rsid w:val="00F41919"/>
    <w:rsid w:val="00F44E26"/>
    <w:rsid w:val="00F46150"/>
    <w:rsid w:val="00F47860"/>
    <w:rsid w:val="00F47E23"/>
    <w:rsid w:val="00F50713"/>
    <w:rsid w:val="00F51906"/>
    <w:rsid w:val="00F51ED7"/>
    <w:rsid w:val="00F51FF4"/>
    <w:rsid w:val="00F530F1"/>
    <w:rsid w:val="00F54DC0"/>
    <w:rsid w:val="00F55051"/>
    <w:rsid w:val="00F555ED"/>
    <w:rsid w:val="00F55EB7"/>
    <w:rsid w:val="00F5643A"/>
    <w:rsid w:val="00F5717A"/>
    <w:rsid w:val="00F57D61"/>
    <w:rsid w:val="00F61033"/>
    <w:rsid w:val="00F61B8D"/>
    <w:rsid w:val="00F62D81"/>
    <w:rsid w:val="00F62FA2"/>
    <w:rsid w:val="00F660A2"/>
    <w:rsid w:val="00F66192"/>
    <w:rsid w:val="00F7001D"/>
    <w:rsid w:val="00F70236"/>
    <w:rsid w:val="00F71111"/>
    <w:rsid w:val="00F71182"/>
    <w:rsid w:val="00F71F0A"/>
    <w:rsid w:val="00F72670"/>
    <w:rsid w:val="00F72EF4"/>
    <w:rsid w:val="00F74F4C"/>
    <w:rsid w:val="00F74F92"/>
    <w:rsid w:val="00F751A9"/>
    <w:rsid w:val="00F75829"/>
    <w:rsid w:val="00F772A7"/>
    <w:rsid w:val="00F80078"/>
    <w:rsid w:val="00F81502"/>
    <w:rsid w:val="00F82B80"/>
    <w:rsid w:val="00F903FC"/>
    <w:rsid w:val="00F9072E"/>
    <w:rsid w:val="00FA44ED"/>
    <w:rsid w:val="00FA4AC1"/>
    <w:rsid w:val="00FA6B84"/>
    <w:rsid w:val="00FA6C09"/>
    <w:rsid w:val="00FB30C4"/>
    <w:rsid w:val="00FB3479"/>
    <w:rsid w:val="00FB6012"/>
    <w:rsid w:val="00FB7C5D"/>
    <w:rsid w:val="00FC1E4A"/>
    <w:rsid w:val="00FC434F"/>
    <w:rsid w:val="00FC5153"/>
    <w:rsid w:val="00FD1AEC"/>
    <w:rsid w:val="00FD2D86"/>
    <w:rsid w:val="00FD3712"/>
    <w:rsid w:val="00FE1FE7"/>
    <w:rsid w:val="00FE4BA0"/>
    <w:rsid w:val="00FE5A95"/>
    <w:rsid w:val="00FE6616"/>
    <w:rsid w:val="00FF02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B9A1E"/>
  <w15:docId w15:val="{60755A7C-E2CB-427C-B12B-ABFE7F14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19"/>
    <w:rPr>
      <w:rFonts w:ascii="Courier New" w:hAnsi="Courier New"/>
    </w:rPr>
  </w:style>
  <w:style w:type="paragraph" w:styleId="Naslov1">
    <w:name w:val="heading 1"/>
    <w:basedOn w:val="Normal"/>
    <w:next w:val="Normal"/>
    <w:qFormat/>
    <w:pPr>
      <w:keepNext/>
      <w:jc w:val="both"/>
      <w:outlineLvl w:val="0"/>
    </w:pPr>
    <w:rPr>
      <w:b/>
      <w:sz w:val="28"/>
    </w:rPr>
  </w:style>
  <w:style w:type="paragraph" w:styleId="Naslov2">
    <w:name w:val="heading 2"/>
    <w:basedOn w:val="Normal"/>
    <w:next w:val="Normal"/>
    <w:qFormat/>
    <w:pPr>
      <w:keepNext/>
      <w:jc w:val="both"/>
      <w:outlineLvl w:val="1"/>
    </w:pPr>
    <w:rPr>
      <w:b/>
      <w:sz w:val="24"/>
    </w:rPr>
  </w:style>
  <w:style w:type="paragraph" w:styleId="Naslov3">
    <w:name w:val="heading 3"/>
    <w:basedOn w:val="Normal"/>
    <w:next w:val="Normal"/>
    <w:qFormat/>
    <w:pPr>
      <w:keepNext/>
      <w:outlineLvl w:val="2"/>
    </w:pPr>
    <w:rPr>
      <w:b/>
      <w:sz w:val="28"/>
    </w:rPr>
  </w:style>
  <w:style w:type="paragraph" w:styleId="Naslov4">
    <w:name w:val="heading 4"/>
    <w:basedOn w:val="Normal"/>
    <w:next w:val="Normal"/>
    <w:qFormat/>
    <w:pPr>
      <w:keepNext/>
      <w:outlineLvl w:val="3"/>
    </w:pPr>
    <w:rPr>
      <w:b/>
      <w:sz w:val="28"/>
      <w:u w:val="single"/>
    </w:rPr>
  </w:style>
  <w:style w:type="paragraph" w:styleId="Naslov5">
    <w:name w:val="heading 5"/>
    <w:basedOn w:val="Normal"/>
    <w:next w:val="Normal"/>
    <w:qFormat/>
    <w:pPr>
      <w:keepNext/>
      <w:ind w:left="660"/>
      <w:outlineLvl w:val="4"/>
    </w:pPr>
    <w:rPr>
      <w:b/>
      <w:sz w:val="24"/>
    </w:rPr>
  </w:style>
  <w:style w:type="paragraph" w:styleId="Naslov6">
    <w:name w:val="heading 6"/>
    <w:basedOn w:val="Normal"/>
    <w:next w:val="Normal"/>
    <w:qFormat/>
    <w:pPr>
      <w:keepNext/>
      <w:outlineLvl w:val="5"/>
    </w:pPr>
    <w:rPr>
      <w:b/>
      <w:sz w:val="32"/>
    </w:rPr>
  </w:style>
  <w:style w:type="paragraph" w:styleId="Naslov7">
    <w:name w:val="heading 7"/>
    <w:basedOn w:val="Normal"/>
    <w:next w:val="Normal"/>
    <w:qFormat/>
    <w:pPr>
      <w:keepNext/>
      <w:outlineLvl w:val="6"/>
    </w:pPr>
    <w:rPr>
      <w:b/>
      <w:sz w:val="24"/>
    </w:rPr>
  </w:style>
  <w:style w:type="paragraph" w:styleId="Naslov8">
    <w:name w:val="heading 8"/>
    <w:basedOn w:val="Normal"/>
    <w:next w:val="Normal"/>
    <w:qFormat/>
    <w:pPr>
      <w:keepNext/>
      <w:jc w:val="right"/>
      <w:outlineLvl w:val="7"/>
    </w:pPr>
    <w:rPr>
      <w:b/>
      <w:sz w:val="24"/>
    </w:rPr>
  </w:style>
  <w:style w:type="paragraph" w:styleId="Naslov9">
    <w:name w:val="heading 9"/>
    <w:basedOn w:val="Normal"/>
    <w:next w:val="Normal"/>
    <w:qFormat/>
    <w:pPr>
      <w:keepNext/>
      <w:jc w:val="center"/>
      <w:outlineLvl w:val="8"/>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b/>
      <w:sz w:val="24"/>
    </w:rPr>
  </w:style>
  <w:style w:type="paragraph" w:styleId="Uvuenotijeloteksta">
    <w:name w:val="Body Text Indent"/>
    <w:basedOn w:val="Normal"/>
    <w:pPr>
      <w:ind w:firstLine="1134"/>
      <w:jc w:val="both"/>
    </w:pPr>
    <w:rPr>
      <w:rFonts w:ascii="Times New Roman" w:hAnsi="Times New Roman"/>
      <w:sz w:val="24"/>
    </w:rPr>
  </w:style>
  <w:style w:type="paragraph" w:styleId="Tijeloteksta2">
    <w:name w:val="Body Text 2"/>
    <w:basedOn w:val="Normal"/>
    <w:link w:val="Tijeloteksta2Char"/>
    <w:pPr>
      <w:jc w:val="both"/>
    </w:pPr>
    <w:rPr>
      <w:rFonts w:ascii="Times New Roman" w:hAnsi="Times New Roman"/>
      <w:sz w:val="24"/>
    </w:rPr>
  </w:style>
  <w:style w:type="paragraph" w:styleId="Zaglavlje">
    <w:name w:val="header"/>
    <w:basedOn w:val="Normal"/>
    <w:link w:val="ZaglavljeChar"/>
    <w:pPr>
      <w:tabs>
        <w:tab w:val="center" w:pos="4320"/>
        <w:tab w:val="right" w:pos="8640"/>
      </w:tabs>
    </w:pPr>
  </w:style>
  <w:style w:type="character" w:styleId="Brojstranice">
    <w:name w:val="page number"/>
    <w:basedOn w:val="Zadanifontodlomka"/>
  </w:style>
  <w:style w:type="paragraph" w:styleId="Podnoje">
    <w:name w:val="footer"/>
    <w:basedOn w:val="Normal"/>
    <w:pPr>
      <w:tabs>
        <w:tab w:val="center" w:pos="4320"/>
        <w:tab w:val="right" w:pos="8640"/>
      </w:tabs>
    </w:pPr>
  </w:style>
  <w:style w:type="paragraph" w:styleId="Tijeloteksta-uvlaka3">
    <w:name w:val="Body Text Indent 3"/>
    <w:basedOn w:val="Normal"/>
    <w:link w:val="Tijeloteksta-uvlaka3Char"/>
    <w:pPr>
      <w:ind w:firstLine="1134"/>
      <w:jc w:val="both"/>
    </w:pPr>
    <w:rPr>
      <w:rFonts w:ascii="Times New Roman" w:hAnsi="Times New Roman"/>
      <w:sz w:val="24"/>
      <w:lang w:val="en-AU"/>
    </w:rPr>
  </w:style>
  <w:style w:type="table" w:styleId="Reetkatablice">
    <w:name w:val="Table Grid"/>
    <w:basedOn w:val="Obinatablica"/>
    <w:rsid w:val="00C15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17337"/>
    <w:rPr>
      <w:rFonts w:ascii="Tahoma" w:hAnsi="Tahoma" w:cs="Tahoma"/>
      <w:sz w:val="16"/>
      <w:szCs w:val="16"/>
    </w:rPr>
  </w:style>
  <w:style w:type="character" w:customStyle="1" w:styleId="TekstbaloniaChar">
    <w:name w:val="Tekst balončića Char"/>
    <w:basedOn w:val="Zadanifontodlomka"/>
    <w:link w:val="Tekstbalonia"/>
    <w:uiPriority w:val="99"/>
    <w:semiHidden/>
    <w:rsid w:val="00B17337"/>
    <w:rPr>
      <w:rFonts w:ascii="Tahoma" w:hAnsi="Tahoma" w:cs="Tahoma"/>
      <w:sz w:val="16"/>
      <w:szCs w:val="16"/>
    </w:rPr>
  </w:style>
  <w:style w:type="paragraph" w:styleId="Odlomakpopisa">
    <w:name w:val="List Paragraph"/>
    <w:basedOn w:val="Normal"/>
    <w:uiPriority w:val="34"/>
    <w:qFormat/>
    <w:rsid w:val="00D72707"/>
    <w:pPr>
      <w:ind w:left="720"/>
      <w:contextualSpacing/>
    </w:pPr>
  </w:style>
  <w:style w:type="character" w:styleId="Hiperveza">
    <w:name w:val="Hyperlink"/>
    <w:basedOn w:val="Zadanifontodlomka"/>
    <w:uiPriority w:val="99"/>
    <w:unhideWhenUsed/>
    <w:rsid w:val="00A961ED"/>
    <w:rPr>
      <w:color w:val="0000FF"/>
      <w:u w:val="single"/>
    </w:rPr>
  </w:style>
  <w:style w:type="character" w:customStyle="1" w:styleId="Tijeloteksta2Char">
    <w:name w:val="Tijelo teksta 2 Char"/>
    <w:basedOn w:val="Zadanifontodlomka"/>
    <w:link w:val="Tijeloteksta2"/>
    <w:rsid w:val="00AF077A"/>
    <w:rPr>
      <w:sz w:val="24"/>
    </w:rPr>
  </w:style>
  <w:style w:type="character" w:customStyle="1" w:styleId="ZaglavljeChar">
    <w:name w:val="Zaglavlje Char"/>
    <w:basedOn w:val="Zadanifontodlomka"/>
    <w:link w:val="Zaglavlje"/>
    <w:rsid w:val="00F51FF4"/>
    <w:rPr>
      <w:rFonts w:ascii="Courier New" w:hAnsi="Courier New"/>
    </w:rPr>
  </w:style>
  <w:style w:type="character" w:customStyle="1" w:styleId="Tijeloteksta-uvlaka3Char">
    <w:name w:val="Tijelo teksta - uvlaka 3 Char"/>
    <w:basedOn w:val="Zadanifontodlomka"/>
    <w:link w:val="Tijeloteksta-uvlaka3"/>
    <w:rsid w:val="00AB1817"/>
    <w:rPr>
      <w:sz w:val="24"/>
      <w:lang w:val="en-AU"/>
    </w:rPr>
  </w:style>
  <w:style w:type="paragraph" w:customStyle="1" w:styleId="box470855">
    <w:name w:val="box_470855"/>
    <w:basedOn w:val="Normal"/>
    <w:rsid w:val="009F2341"/>
    <w:pPr>
      <w:spacing w:before="100" w:beforeAutospacing="1" w:after="100" w:afterAutospacing="1"/>
    </w:pPr>
    <w:rPr>
      <w:rFonts w:ascii="Times New Roman" w:hAnsi="Times New Roman"/>
      <w:sz w:val="24"/>
      <w:szCs w:val="24"/>
    </w:rPr>
  </w:style>
  <w:style w:type="character" w:styleId="Nerijeenospominjanje">
    <w:name w:val="Unresolved Mention"/>
    <w:basedOn w:val="Zadanifontodlomka"/>
    <w:uiPriority w:val="99"/>
    <w:semiHidden/>
    <w:unhideWhenUsed/>
    <w:rsid w:val="008C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4474">
      <w:bodyDiv w:val="1"/>
      <w:marLeft w:val="0"/>
      <w:marRight w:val="0"/>
      <w:marTop w:val="0"/>
      <w:marBottom w:val="0"/>
      <w:divBdr>
        <w:top w:val="none" w:sz="0" w:space="0" w:color="auto"/>
        <w:left w:val="none" w:sz="0" w:space="0" w:color="auto"/>
        <w:bottom w:val="none" w:sz="0" w:space="0" w:color="auto"/>
        <w:right w:val="none" w:sz="0" w:space="0" w:color="auto"/>
      </w:divBdr>
    </w:div>
    <w:div w:id="204563121">
      <w:bodyDiv w:val="1"/>
      <w:marLeft w:val="0"/>
      <w:marRight w:val="0"/>
      <w:marTop w:val="0"/>
      <w:marBottom w:val="0"/>
      <w:divBdr>
        <w:top w:val="none" w:sz="0" w:space="0" w:color="auto"/>
        <w:left w:val="none" w:sz="0" w:space="0" w:color="auto"/>
        <w:bottom w:val="none" w:sz="0" w:space="0" w:color="auto"/>
        <w:right w:val="none" w:sz="0" w:space="0" w:color="auto"/>
      </w:divBdr>
    </w:div>
    <w:div w:id="218714449">
      <w:bodyDiv w:val="1"/>
      <w:marLeft w:val="0"/>
      <w:marRight w:val="0"/>
      <w:marTop w:val="0"/>
      <w:marBottom w:val="0"/>
      <w:divBdr>
        <w:top w:val="none" w:sz="0" w:space="0" w:color="auto"/>
        <w:left w:val="none" w:sz="0" w:space="0" w:color="auto"/>
        <w:bottom w:val="none" w:sz="0" w:space="0" w:color="auto"/>
        <w:right w:val="none" w:sz="0" w:space="0" w:color="auto"/>
      </w:divBdr>
    </w:div>
    <w:div w:id="240481087">
      <w:bodyDiv w:val="1"/>
      <w:marLeft w:val="0"/>
      <w:marRight w:val="0"/>
      <w:marTop w:val="0"/>
      <w:marBottom w:val="0"/>
      <w:divBdr>
        <w:top w:val="none" w:sz="0" w:space="0" w:color="auto"/>
        <w:left w:val="none" w:sz="0" w:space="0" w:color="auto"/>
        <w:bottom w:val="none" w:sz="0" w:space="0" w:color="auto"/>
        <w:right w:val="none" w:sz="0" w:space="0" w:color="auto"/>
      </w:divBdr>
    </w:div>
    <w:div w:id="281307601">
      <w:bodyDiv w:val="1"/>
      <w:marLeft w:val="0"/>
      <w:marRight w:val="0"/>
      <w:marTop w:val="0"/>
      <w:marBottom w:val="0"/>
      <w:divBdr>
        <w:top w:val="none" w:sz="0" w:space="0" w:color="auto"/>
        <w:left w:val="none" w:sz="0" w:space="0" w:color="auto"/>
        <w:bottom w:val="none" w:sz="0" w:space="0" w:color="auto"/>
        <w:right w:val="none" w:sz="0" w:space="0" w:color="auto"/>
      </w:divBdr>
    </w:div>
    <w:div w:id="328213733">
      <w:bodyDiv w:val="1"/>
      <w:marLeft w:val="0"/>
      <w:marRight w:val="0"/>
      <w:marTop w:val="0"/>
      <w:marBottom w:val="0"/>
      <w:divBdr>
        <w:top w:val="none" w:sz="0" w:space="0" w:color="auto"/>
        <w:left w:val="none" w:sz="0" w:space="0" w:color="auto"/>
        <w:bottom w:val="none" w:sz="0" w:space="0" w:color="auto"/>
        <w:right w:val="none" w:sz="0" w:space="0" w:color="auto"/>
      </w:divBdr>
    </w:div>
    <w:div w:id="341904103">
      <w:bodyDiv w:val="1"/>
      <w:marLeft w:val="0"/>
      <w:marRight w:val="0"/>
      <w:marTop w:val="0"/>
      <w:marBottom w:val="0"/>
      <w:divBdr>
        <w:top w:val="none" w:sz="0" w:space="0" w:color="auto"/>
        <w:left w:val="none" w:sz="0" w:space="0" w:color="auto"/>
        <w:bottom w:val="none" w:sz="0" w:space="0" w:color="auto"/>
        <w:right w:val="none" w:sz="0" w:space="0" w:color="auto"/>
      </w:divBdr>
    </w:div>
    <w:div w:id="371073462">
      <w:bodyDiv w:val="1"/>
      <w:marLeft w:val="0"/>
      <w:marRight w:val="0"/>
      <w:marTop w:val="0"/>
      <w:marBottom w:val="0"/>
      <w:divBdr>
        <w:top w:val="none" w:sz="0" w:space="0" w:color="auto"/>
        <w:left w:val="none" w:sz="0" w:space="0" w:color="auto"/>
        <w:bottom w:val="none" w:sz="0" w:space="0" w:color="auto"/>
        <w:right w:val="none" w:sz="0" w:space="0" w:color="auto"/>
      </w:divBdr>
    </w:div>
    <w:div w:id="442962135">
      <w:bodyDiv w:val="1"/>
      <w:marLeft w:val="0"/>
      <w:marRight w:val="0"/>
      <w:marTop w:val="0"/>
      <w:marBottom w:val="0"/>
      <w:divBdr>
        <w:top w:val="none" w:sz="0" w:space="0" w:color="auto"/>
        <w:left w:val="none" w:sz="0" w:space="0" w:color="auto"/>
        <w:bottom w:val="none" w:sz="0" w:space="0" w:color="auto"/>
        <w:right w:val="none" w:sz="0" w:space="0" w:color="auto"/>
      </w:divBdr>
    </w:div>
    <w:div w:id="505900380">
      <w:bodyDiv w:val="1"/>
      <w:marLeft w:val="0"/>
      <w:marRight w:val="0"/>
      <w:marTop w:val="0"/>
      <w:marBottom w:val="0"/>
      <w:divBdr>
        <w:top w:val="none" w:sz="0" w:space="0" w:color="auto"/>
        <w:left w:val="none" w:sz="0" w:space="0" w:color="auto"/>
        <w:bottom w:val="none" w:sz="0" w:space="0" w:color="auto"/>
        <w:right w:val="none" w:sz="0" w:space="0" w:color="auto"/>
      </w:divBdr>
    </w:div>
    <w:div w:id="537622657">
      <w:bodyDiv w:val="1"/>
      <w:marLeft w:val="0"/>
      <w:marRight w:val="0"/>
      <w:marTop w:val="0"/>
      <w:marBottom w:val="0"/>
      <w:divBdr>
        <w:top w:val="none" w:sz="0" w:space="0" w:color="auto"/>
        <w:left w:val="none" w:sz="0" w:space="0" w:color="auto"/>
        <w:bottom w:val="none" w:sz="0" w:space="0" w:color="auto"/>
        <w:right w:val="none" w:sz="0" w:space="0" w:color="auto"/>
      </w:divBdr>
    </w:div>
    <w:div w:id="575824468">
      <w:bodyDiv w:val="1"/>
      <w:marLeft w:val="0"/>
      <w:marRight w:val="0"/>
      <w:marTop w:val="0"/>
      <w:marBottom w:val="0"/>
      <w:divBdr>
        <w:top w:val="none" w:sz="0" w:space="0" w:color="auto"/>
        <w:left w:val="none" w:sz="0" w:space="0" w:color="auto"/>
        <w:bottom w:val="none" w:sz="0" w:space="0" w:color="auto"/>
        <w:right w:val="none" w:sz="0" w:space="0" w:color="auto"/>
      </w:divBdr>
    </w:div>
    <w:div w:id="601453110">
      <w:bodyDiv w:val="1"/>
      <w:marLeft w:val="0"/>
      <w:marRight w:val="0"/>
      <w:marTop w:val="0"/>
      <w:marBottom w:val="0"/>
      <w:divBdr>
        <w:top w:val="none" w:sz="0" w:space="0" w:color="auto"/>
        <w:left w:val="none" w:sz="0" w:space="0" w:color="auto"/>
        <w:bottom w:val="none" w:sz="0" w:space="0" w:color="auto"/>
        <w:right w:val="none" w:sz="0" w:space="0" w:color="auto"/>
      </w:divBdr>
    </w:div>
    <w:div w:id="651444665">
      <w:bodyDiv w:val="1"/>
      <w:marLeft w:val="0"/>
      <w:marRight w:val="0"/>
      <w:marTop w:val="0"/>
      <w:marBottom w:val="0"/>
      <w:divBdr>
        <w:top w:val="none" w:sz="0" w:space="0" w:color="auto"/>
        <w:left w:val="none" w:sz="0" w:space="0" w:color="auto"/>
        <w:bottom w:val="none" w:sz="0" w:space="0" w:color="auto"/>
        <w:right w:val="none" w:sz="0" w:space="0" w:color="auto"/>
      </w:divBdr>
    </w:div>
    <w:div w:id="665717273">
      <w:bodyDiv w:val="1"/>
      <w:marLeft w:val="0"/>
      <w:marRight w:val="0"/>
      <w:marTop w:val="0"/>
      <w:marBottom w:val="0"/>
      <w:divBdr>
        <w:top w:val="none" w:sz="0" w:space="0" w:color="auto"/>
        <w:left w:val="none" w:sz="0" w:space="0" w:color="auto"/>
        <w:bottom w:val="none" w:sz="0" w:space="0" w:color="auto"/>
        <w:right w:val="none" w:sz="0" w:space="0" w:color="auto"/>
      </w:divBdr>
    </w:div>
    <w:div w:id="687492076">
      <w:bodyDiv w:val="1"/>
      <w:marLeft w:val="0"/>
      <w:marRight w:val="0"/>
      <w:marTop w:val="0"/>
      <w:marBottom w:val="0"/>
      <w:divBdr>
        <w:top w:val="none" w:sz="0" w:space="0" w:color="auto"/>
        <w:left w:val="none" w:sz="0" w:space="0" w:color="auto"/>
        <w:bottom w:val="none" w:sz="0" w:space="0" w:color="auto"/>
        <w:right w:val="none" w:sz="0" w:space="0" w:color="auto"/>
      </w:divBdr>
    </w:div>
    <w:div w:id="747963636">
      <w:bodyDiv w:val="1"/>
      <w:marLeft w:val="0"/>
      <w:marRight w:val="0"/>
      <w:marTop w:val="0"/>
      <w:marBottom w:val="0"/>
      <w:divBdr>
        <w:top w:val="none" w:sz="0" w:space="0" w:color="auto"/>
        <w:left w:val="none" w:sz="0" w:space="0" w:color="auto"/>
        <w:bottom w:val="none" w:sz="0" w:space="0" w:color="auto"/>
        <w:right w:val="none" w:sz="0" w:space="0" w:color="auto"/>
      </w:divBdr>
    </w:div>
    <w:div w:id="815412048">
      <w:bodyDiv w:val="1"/>
      <w:marLeft w:val="0"/>
      <w:marRight w:val="0"/>
      <w:marTop w:val="0"/>
      <w:marBottom w:val="0"/>
      <w:divBdr>
        <w:top w:val="none" w:sz="0" w:space="0" w:color="auto"/>
        <w:left w:val="none" w:sz="0" w:space="0" w:color="auto"/>
        <w:bottom w:val="none" w:sz="0" w:space="0" w:color="auto"/>
        <w:right w:val="none" w:sz="0" w:space="0" w:color="auto"/>
      </w:divBdr>
    </w:div>
    <w:div w:id="825243920">
      <w:bodyDiv w:val="1"/>
      <w:marLeft w:val="0"/>
      <w:marRight w:val="0"/>
      <w:marTop w:val="0"/>
      <w:marBottom w:val="0"/>
      <w:divBdr>
        <w:top w:val="none" w:sz="0" w:space="0" w:color="auto"/>
        <w:left w:val="none" w:sz="0" w:space="0" w:color="auto"/>
        <w:bottom w:val="none" w:sz="0" w:space="0" w:color="auto"/>
        <w:right w:val="none" w:sz="0" w:space="0" w:color="auto"/>
      </w:divBdr>
    </w:div>
    <w:div w:id="862675086">
      <w:bodyDiv w:val="1"/>
      <w:marLeft w:val="0"/>
      <w:marRight w:val="0"/>
      <w:marTop w:val="0"/>
      <w:marBottom w:val="0"/>
      <w:divBdr>
        <w:top w:val="none" w:sz="0" w:space="0" w:color="auto"/>
        <w:left w:val="none" w:sz="0" w:space="0" w:color="auto"/>
        <w:bottom w:val="none" w:sz="0" w:space="0" w:color="auto"/>
        <w:right w:val="none" w:sz="0" w:space="0" w:color="auto"/>
      </w:divBdr>
    </w:div>
    <w:div w:id="874388564">
      <w:bodyDiv w:val="1"/>
      <w:marLeft w:val="0"/>
      <w:marRight w:val="0"/>
      <w:marTop w:val="0"/>
      <w:marBottom w:val="0"/>
      <w:divBdr>
        <w:top w:val="none" w:sz="0" w:space="0" w:color="auto"/>
        <w:left w:val="none" w:sz="0" w:space="0" w:color="auto"/>
        <w:bottom w:val="none" w:sz="0" w:space="0" w:color="auto"/>
        <w:right w:val="none" w:sz="0" w:space="0" w:color="auto"/>
      </w:divBdr>
    </w:div>
    <w:div w:id="897008344">
      <w:bodyDiv w:val="1"/>
      <w:marLeft w:val="0"/>
      <w:marRight w:val="0"/>
      <w:marTop w:val="0"/>
      <w:marBottom w:val="0"/>
      <w:divBdr>
        <w:top w:val="none" w:sz="0" w:space="0" w:color="auto"/>
        <w:left w:val="none" w:sz="0" w:space="0" w:color="auto"/>
        <w:bottom w:val="none" w:sz="0" w:space="0" w:color="auto"/>
        <w:right w:val="none" w:sz="0" w:space="0" w:color="auto"/>
      </w:divBdr>
    </w:div>
    <w:div w:id="992486012">
      <w:bodyDiv w:val="1"/>
      <w:marLeft w:val="0"/>
      <w:marRight w:val="0"/>
      <w:marTop w:val="0"/>
      <w:marBottom w:val="0"/>
      <w:divBdr>
        <w:top w:val="none" w:sz="0" w:space="0" w:color="auto"/>
        <w:left w:val="none" w:sz="0" w:space="0" w:color="auto"/>
        <w:bottom w:val="none" w:sz="0" w:space="0" w:color="auto"/>
        <w:right w:val="none" w:sz="0" w:space="0" w:color="auto"/>
      </w:divBdr>
    </w:div>
    <w:div w:id="1013805443">
      <w:bodyDiv w:val="1"/>
      <w:marLeft w:val="0"/>
      <w:marRight w:val="0"/>
      <w:marTop w:val="0"/>
      <w:marBottom w:val="0"/>
      <w:divBdr>
        <w:top w:val="none" w:sz="0" w:space="0" w:color="auto"/>
        <w:left w:val="none" w:sz="0" w:space="0" w:color="auto"/>
        <w:bottom w:val="none" w:sz="0" w:space="0" w:color="auto"/>
        <w:right w:val="none" w:sz="0" w:space="0" w:color="auto"/>
      </w:divBdr>
    </w:div>
    <w:div w:id="1018194789">
      <w:bodyDiv w:val="1"/>
      <w:marLeft w:val="0"/>
      <w:marRight w:val="0"/>
      <w:marTop w:val="0"/>
      <w:marBottom w:val="0"/>
      <w:divBdr>
        <w:top w:val="none" w:sz="0" w:space="0" w:color="auto"/>
        <w:left w:val="none" w:sz="0" w:space="0" w:color="auto"/>
        <w:bottom w:val="none" w:sz="0" w:space="0" w:color="auto"/>
        <w:right w:val="none" w:sz="0" w:space="0" w:color="auto"/>
      </w:divBdr>
    </w:div>
    <w:div w:id="1056657700">
      <w:bodyDiv w:val="1"/>
      <w:marLeft w:val="0"/>
      <w:marRight w:val="0"/>
      <w:marTop w:val="0"/>
      <w:marBottom w:val="0"/>
      <w:divBdr>
        <w:top w:val="none" w:sz="0" w:space="0" w:color="auto"/>
        <w:left w:val="none" w:sz="0" w:space="0" w:color="auto"/>
        <w:bottom w:val="none" w:sz="0" w:space="0" w:color="auto"/>
        <w:right w:val="none" w:sz="0" w:space="0" w:color="auto"/>
      </w:divBdr>
    </w:div>
    <w:div w:id="1111819450">
      <w:bodyDiv w:val="1"/>
      <w:marLeft w:val="0"/>
      <w:marRight w:val="0"/>
      <w:marTop w:val="0"/>
      <w:marBottom w:val="0"/>
      <w:divBdr>
        <w:top w:val="none" w:sz="0" w:space="0" w:color="auto"/>
        <w:left w:val="none" w:sz="0" w:space="0" w:color="auto"/>
        <w:bottom w:val="none" w:sz="0" w:space="0" w:color="auto"/>
        <w:right w:val="none" w:sz="0" w:space="0" w:color="auto"/>
      </w:divBdr>
    </w:div>
    <w:div w:id="1117330013">
      <w:bodyDiv w:val="1"/>
      <w:marLeft w:val="0"/>
      <w:marRight w:val="0"/>
      <w:marTop w:val="0"/>
      <w:marBottom w:val="0"/>
      <w:divBdr>
        <w:top w:val="none" w:sz="0" w:space="0" w:color="auto"/>
        <w:left w:val="none" w:sz="0" w:space="0" w:color="auto"/>
        <w:bottom w:val="none" w:sz="0" w:space="0" w:color="auto"/>
        <w:right w:val="none" w:sz="0" w:space="0" w:color="auto"/>
      </w:divBdr>
    </w:div>
    <w:div w:id="1124688246">
      <w:bodyDiv w:val="1"/>
      <w:marLeft w:val="0"/>
      <w:marRight w:val="0"/>
      <w:marTop w:val="0"/>
      <w:marBottom w:val="0"/>
      <w:divBdr>
        <w:top w:val="none" w:sz="0" w:space="0" w:color="auto"/>
        <w:left w:val="none" w:sz="0" w:space="0" w:color="auto"/>
        <w:bottom w:val="none" w:sz="0" w:space="0" w:color="auto"/>
        <w:right w:val="none" w:sz="0" w:space="0" w:color="auto"/>
      </w:divBdr>
    </w:div>
    <w:div w:id="1202748185">
      <w:bodyDiv w:val="1"/>
      <w:marLeft w:val="0"/>
      <w:marRight w:val="0"/>
      <w:marTop w:val="0"/>
      <w:marBottom w:val="0"/>
      <w:divBdr>
        <w:top w:val="none" w:sz="0" w:space="0" w:color="auto"/>
        <w:left w:val="none" w:sz="0" w:space="0" w:color="auto"/>
        <w:bottom w:val="none" w:sz="0" w:space="0" w:color="auto"/>
        <w:right w:val="none" w:sz="0" w:space="0" w:color="auto"/>
      </w:divBdr>
    </w:div>
    <w:div w:id="1391228216">
      <w:bodyDiv w:val="1"/>
      <w:marLeft w:val="0"/>
      <w:marRight w:val="0"/>
      <w:marTop w:val="0"/>
      <w:marBottom w:val="0"/>
      <w:divBdr>
        <w:top w:val="none" w:sz="0" w:space="0" w:color="auto"/>
        <w:left w:val="none" w:sz="0" w:space="0" w:color="auto"/>
        <w:bottom w:val="none" w:sz="0" w:space="0" w:color="auto"/>
        <w:right w:val="none" w:sz="0" w:space="0" w:color="auto"/>
      </w:divBdr>
    </w:div>
    <w:div w:id="1396204917">
      <w:bodyDiv w:val="1"/>
      <w:marLeft w:val="0"/>
      <w:marRight w:val="0"/>
      <w:marTop w:val="0"/>
      <w:marBottom w:val="0"/>
      <w:divBdr>
        <w:top w:val="none" w:sz="0" w:space="0" w:color="auto"/>
        <w:left w:val="none" w:sz="0" w:space="0" w:color="auto"/>
        <w:bottom w:val="none" w:sz="0" w:space="0" w:color="auto"/>
        <w:right w:val="none" w:sz="0" w:space="0" w:color="auto"/>
      </w:divBdr>
    </w:div>
    <w:div w:id="1407921010">
      <w:bodyDiv w:val="1"/>
      <w:marLeft w:val="0"/>
      <w:marRight w:val="0"/>
      <w:marTop w:val="0"/>
      <w:marBottom w:val="0"/>
      <w:divBdr>
        <w:top w:val="none" w:sz="0" w:space="0" w:color="auto"/>
        <w:left w:val="none" w:sz="0" w:space="0" w:color="auto"/>
        <w:bottom w:val="none" w:sz="0" w:space="0" w:color="auto"/>
        <w:right w:val="none" w:sz="0" w:space="0" w:color="auto"/>
      </w:divBdr>
    </w:div>
    <w:div w:id="1500391826">
      <w:bodyDiv w:val="1"/>
      <w:marLeft w:val="0"/>
      <w:marRight w:val="0"/>
      <w:marTop w:val="0"/>
      <w:marBottom w:val="0"/>
      <w:divBdr>
        <w:top w:val="none" w:sz="0" w:space="0" w:color="auto"/>
        <w:left w:val="none" w:sz="0" w:space="0" w:color="auto"/>
        <w:bottom w:val="none" w:sz="0" w:space="0" w:color="auto"/>
        <w:right w:val="none" w:sz="0" w:space="0" w:color="auto"/>
      </w:divBdr>
    </w:div>
    <w:div w:id="1546286732">
      <w:bodyDiv w:val="1"/>
      <w:marLeft w:val="0"/>
      <w:marRight w:val="0"/>
      <w:marTop w:val="0"/>
      <w:marBottom w:val="0"/>
      <w:divBdr>
        <w:top w:val="none" w:sz="0" w:space="0" w:color="auto"/>
        <w:left w:val="none" w:sz="0" w:space="0" w:color="auto"/>
        <w:bottom w:val="none" w:sz="0" w:space="0" w:color="auto"/>
        <w:right w:val="none" w:sz="0" w:space="0" w:color="auto"/>
      </w:divBdr>
    </w:div>
    <w:div w:id="1547336040">
      <w:bodyDiv w:val="1"/>
      <w:marLeft w:val="0"/>
      <w:marRight w:val="0"/>
      <w:marTop w:val="0"/>
      <w:marBottom w:val="0"/>
      <w:divBdr>
        <w:top w:val="none" w:sz="0" w:space="0" w:color="auto"/>
        <w:left w:val="none" w:sz="0" w:space="0" w:color="auto"/>
        <w:bottom w:val="none" w:sz="0" w:space="0" w:color="auto"/>
        <w:right w:val="none" w:sz="0" w:space="0" w:color="auto"/>
      </w:divBdr>
    </w:div>
    <w:div w:id="1612980480">
      <w:bodyDiv w:val="1"/>
      <w:marLeft w:val="0"/>
      <w:marRight w:val="0"/>
      <w:marTop w:val="0"/>
      <w:marBottom w:val="0"/>
      <w:divBdr>
        <w:top w:val="none" w:sz="0" w:space="0" w:color="auto"/>
        <w:left w:val="none" w:sz="0" w:space="0" w:color="auto"/>
        <w:bottom w:val="none" w:sz="0" w:space="0" w:color="auto"/>
        <w:right w:val="none" w:sz="0" w:space="0" w:color="auto"/>
      </w:divBdr>
    </w:div>
    <w:div w:id="1615597799">
      <w:bodyDiv w:val="1"/>
      <w:marLeft w:val="0"/>
      <w:marRight w:val="0"/>
      <w:marTop w:val="0"/>
      <w:marBottom w:val="0"/>
      <w:divBdr>
        <w:top w:val="none" w:sz="0" w:space="0" w:color="auto"/>
        <w:left w:val="none" w:sz="0" w:space="0" w:color="auto"/>
        <w:bottom w:val="none" w:sz="0" w:space="0" w:color="auto"/>
        <w:right w:val="none" w:sz="0" w:space="0" w:color="auto"/>
      </w:divBdr>
    </w:div>
    <w:div w:id="1622566052">
      <w:bodyDiv w:val="1"/>
      <w:marLeft w:val="0"/>
      <w:marRight w:val="0"/>
      <w:marTop w:val="0"/>
      <w:marBottom w:val="0"/>
      <w:divBdr>
        <w:top w:val="none" w:sz="0" w:space="0" w:color="auto"/>
        <w:left w:val="none" w:sz="0" w:space="0" w:color="auto"/>
        <w:bottom w:val="none" w:sz="0" w:space="0" w:color="auto"/>
        <w:right w:val="none" w:sz="0" w:space="0" w:color="auto"/>
      </w:divBdr>
    </w:div>
    <w:div w:id="1624268791">
      <w:bodyDiv w:val="1"/>
      <w:marLeft w:val="0"/>
      <w:marRight w:val="0"/>
      <w:marTop w:val="0"/>
      <w:marBottom w:val="0"/>
      <w:divBdr>
        <w:top w:val="none" w:sz="0" w:space="0" w:color="auto"/>
        <w:left w:val="none" w:sz="0" w:space="0" w:color="auto"/>
        <w:bottom w:val="none" w:sz="0" w:space="0" w:color="auto"/>
        <w:right w:val="none" w:sz="0" w:space="0" w:color="auto"/>
      </w:divBdr>
    </w:div>
    <w:div w:id="1682275720">
      <w:bodyDiv w:val="1"/>
      <w:marLeft w:val="0"/>
      <w:marRight w:val="0"/>
      <w:marTop w:val="0"/>
      <w:marBottom w:val="0"/>
      <w:divBdr>
        <w:top w:val="none" w:sz="0" w:space="0" w:color="auto"/>
        <w:left w:val="none" w:sz="0" w:space="0" w:color="auto"/>
        <w:bottom w:val="none" w:sz="0" w:space="0" w:color="auto"/>
        <w:right w:val="none" w:sz="0" w:space="0" w:color="auto"/>
      </w:divBdr>
    </w:div>
    <w:div w:id="1738046201">
      <w:bodyDiv w:val="1"/>
      <w:marLeft w:val="0"/>
      <w:marRight w:val="0"/>
      <w:marTop w:val="0"/>
      <w:marBottom w:val="0"/>
      <w:divBdr>
        <w:top w:val="none" w:sz="0" w:space="0" w:color="auto"/>
        <w:left w:val="none" w:sz="0" w:space="0" w:color="auto"/>
        <w:bottom w:val="none" w:sz="0" w:space="0" w:color="auto"/>
        <w:right w:val="none" w:sz="0" w:space="0" w:color="auto"/>
      </w:divBdr>
    </w:div>
    <w:div w:id="1740320538">
      <w:bodyDiv w:val="1"/>
      <w:marLeft w:val="0"/>
      <w:marRight w:val="0"/>
      <w:marTop w:val="0"/>
      <w:marBottom w:val="0"/>
      <w:divBdr>
        <w:top w:val="none" w:sz="0" w:space="0" w:color="auto"/>
        <w:left w:val="none" w:sz="0" w:space="0" w:color="auto"/>
        <w:bottom w:val="none" w:sz="0" w:space="0" w:color="auto"/>
        <w:right w:val="none" w:sz="0" w:space="0" w:color="auto"/>
      </w:divBdr>
    </w:div>
    <w:div w:id="1744714671">
      <w:bodyDiv w:val="1"/>
      <w:marLeft w:val="0"/>
      <w:marRight w:val="0"/>
      <w:marTop w:val="0"/>
      <w:marBottom w:val="0"/>
      <w:divBdr>
        <w:top w:val="none" w:sz="0" w:space="0" w:color="auto"/>
        <w:left w:val="none" w:sz="0" w:space="0" w:color="auto"/>
        <w:bottom w:val="none" w:sz="0" w:space="0" w:color="auto"/>
        <w:right w:val="none" w:sz="0" w:space="0" w:color="auto"/>
      </w:divBdr>
    </w:div>
    <w:div w:id="1751657486">
      <w:bodyDiv w:val="1"/>
      <w:marLeft w:val="0"/>
      <w:marRight w:val="0"/>
      <w:marTop w:val="0"/>
      <w:marBottom w:val="0"/>
      <w:divBdr>
        <w:top w:val="none" w:sz="0" w:space="0" w:color="auto"/>
        <w:left w:val="none" w:sz="0" w:space="0" w:color="auto"/>
        <w:bottom w:val="none" w:sz="0" w:space="0" w:color="auto"/>
        <w:right w:val="none" w:sz="0" w:space="0" w:color="auto"/>
      </w:divBdr>
    </w:div>
    <w:div w:id="1811971564">
      <w:bodyDiv w:val="1"/>
      <w:marLeft w:val="0"/>
      <w:marRight w:val="0"/>
      <w:marTop w:val="0"/>
      <w:marBottom w:val="0"/>
      <w:divBdr>
        <w:top w:val="none" w:sz="0" w:space="0" w:color="auto"/>
        <w:left w:val="none" w:sz="0" w:space="0" w:color="auto"/>
        <w:bottom w:val="none" w:sz="0" w:space="0" w:color="auto"/>
        <w:right w:val="none" w:sz="0" w:space="0" w:color="auto"/>
      </w:divBdr>
    </w:div>
    <w:div w:id="1829900757">
      <w:bodyDiv w:val="1"/>
      <w:marLeft w:val="0"/>
      <w:marRight w:val="0"/>
      <w:marTop w:val="0"/>
      <w:marBottom w:val="0"/>
      <w:divBdr>
        <w:top w:val="none" w:sz="0" w:space="0" w:color="auto"/>
        <w:left w:val="none" w:sz="0" w:space="0" w:color="auto"/>
        <w:bottom w:val="none" w:sz="0" w:space="0" w:color="auto"/>
        <w:right w:val="none" w:sz="0" w:space="0" w:color="auto"/>
      </w:divBdr>
    </w:div>
    <w:div w:id="1845628817">
      <w:bodyDiv w:val="1"/>
      <w:marLeft w:val="0"/>
      <w:marRight w:val="0"/>
      <w:marTop w:val="0"/>
      <w:marBottom w:val="0"/>
      <w:divBdr>
        <w:top w:val="none" w:sz="0" w:space="0" w:color="auto"/>
        <w:left w:val="none" w:sz="0" w:space="0" w:color="auto"/>
        <w:bottom w:val="none" w:sz="0" w:space="0" w:color="auto"/>
        <w:right w:val="none" w:sz="0" w:space="0" w:color="auto"/>
      </w:divBdr>
    </w:div>
    <w:div w:id="1910068830">
      <w:bodyDiv w:val="1"/>
      <w:marLeft w:val="0"/>
      <w:marRight w:val="0"/>
      <w:marTop w:val="0"/>
      <w:marBottom w:val="0"/>
      <w:divBdr>
        <w:top w:val="none" w:sz="0" w:space="0" w:color="auto"/>
        <w:left w:val="none" w:sz="0" w:space="0" w:color="auto"/>
        <w:bottom w:val="none" w:sz="0" w:space="0" w:color="auto"/>
        <w:right w:val="none" w:sz="0" w:space="0" w:color="auto"/>
      </w:divBdr>
    </w:div>
    <w:div w:id="1982153934">
      <w:bodyDiv w:val="1"/>
      <w:marLeft w:val="0"/>
      <w:marRight w:val="0"/>
      <w:marTop w:val="0"/>
      <w:marBottom w:val="0"/>
      <w:divBdr>
        <w:top w:val="none" w:sz="0" w:space="0" w:color="auto"/>
        <w:left w:val="none" w:sz="0" w:space="0" w:color="auto"/>
        <w:bottom w:val="none" w:sz="0" w:space="0" w:color="auto"/>
        <w:right w:val="none" w:sz="0" w:space="0" w:color="auto"/>
      </w:divBdr>
    </w:div>
    <w:div w:id="2061439019">
      <w:bodyDiv w:val="1"/>
      <w:marLeft w:val="0"/>
      <w:marRight w:val="0"/>
      <w:marTop w:val="0"/>
      <w:marBottom w:val="0"/>
      <w:divBdr>
        <w:top w:val="none" w:sz="0" w:space="0" w:color="auto"/>
        <w:left w:val="none" w:sz="0" w:space="0" w:color="auto"/>
        <w:bottom w:val="none" w:sz="0" w:space="0" w:color="auto"/>
        <w:right w:val="none" w:sz="0" w:space="0" w:color="auto"/>
      </w:divBdr>
    </w:div>
    <w:div w:id="2101683789">
      <w:bodyDiv w:val="1"/>
      <w:marLeft w:val="0"/>
      <w:marRight w:val="0"/>
      <w:marTop w:val="0"/>
      <w:marBottom w:val="0"/>
      <w:divBdr>
        <w:top w:val="none" w:sz="0" w:space="0" w:color="auto"/>
        <w:left w:val="none" w:sz="0" w:space="0" w:color="auto"/>
        <w:bottom w:val="none" w:sz="0" w:space="0" w:color="auto"/>
        <w:right w:val="none" w:sz="0" w:space="0" w:color="auto"/>
      </w:divBdr>
    </w:div>
    <w:div w:id="21075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B8FBA-CDA0-4175-9B74-6AF7DD4B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5066</Words>
  <Characters>28879</Characters>
  <Application>Microsoft Office Word</Application>
  <DocSecurity>0</DocSecurity>
  <Lines>240</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FINANCIJSKI IZVJEŠTAJI</vt:lpstr>
      <vt:lpstr>ŽUPANIJA PRIMORSKO-GORANSKA</vt:lpstr>
    </vt:vector>
  </TitlesOfParts>
  <Company>GRAD BAKAR</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FINANCIJSKI IZVJEŠTAJI</dc:title>
  <dc:creator>Iva Marohnić</dc:creator>
  <cp:lastModifiedBy>Branka Šišul</cp:lastModifiedBy>
  <cp:revision>5</cp:revision>
  <cp:lastPrinted>2026-02-23T07:32:00Z</cp:lastPrinted>
  <dcterms:created xsi:type="dcterms:W3CDTF">2026-02-23T11:02:00Z</dcterms:created>
  <dcterms:modified xsi:type="dcterms:W3CDTF">2026-03-02T12:17:00Z</dcterms:modified>
</cp:coreProperties>
</file>